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after="480"/>
        <w:jc w:val="left"/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52"/>
        </w:rPr>
        <w:t>华润万象生活2022届校园招聘简章</w:t>
      </w:r>
    </w:p>
    <w:p>
      <w:pPr>
        <w:spacing w:before="420" w:after="420"/>
        <w:jc w:val="center"/>
      </w:pPr>
      <w:r>
        <w:rPr>
          <w:rFonts w:ascii="Times New Roman" w:hAnsi="Times New Roman" w:eastAsia="宋体" w:cs="Times New Roman"/>
          <w:b/>
          <w:sz w:val="44"/>
        </w:rPr>
        <w:t xml:space="preserve">华润万象生活2022校园招聘简章 </w:t>
      </w:r>
    </w:p>
    <w:p>
      <w:pPr>
        <w:jc w:val="left"/>
      </w:pPr>
      <w:r>
        <w:rPr>
          <w:rFonts w:ascii="Times New Roman" w:hAnsi="Times New Roman" w:eastAsia="宋体" w:cs="Times New Roman"/>
          <w:b/>
          <w:color w:val="DE7802"/>
          <w:sz w:val="22"/>
        </w:rPr>
        <w:t>华润集团</w:t>
      </w:r>
      <w:r>
        <w:rPr>
          <w:rFonts w:ascii="Times New Roman" w:hAnsi="Times New Roman" w:eastAsia="宋体" w:cs="Times New Roman"/>
          <w:sz w:val="22"/>
        </w:rPr>
        <w:t>是多元化控股企业集团、国有重点骨干企业，在2021年《财富》杂志公布的全球500强排名中，位列69位。</w:t>
      </w:r>
    </w:p>
    <w:p>
      <w:pPr>
        <w:jc w:val="left"/>
      </w:pPr>
      <w:r>
        <w:rPr>
          <w:rFonts w:ascii="Times New Roman" w:hAnsi="Times New Roman" w:eastAsia="宋体" w:cs="Times New Roman"/>
          <w:b/>
          <w:color w:val="DE7802"/>
          <w:sz w:val="22"/>
        </w:rPr>
        <w:t>华润置地</w:t>
      </w:r>
      <w:r>
        <w:rPr>
          <w:rFonts w:ascii="Times New Roman" w:hAnsi="Times New Roman" w:eastAsia="宋体" w:cs="Times New Roman"/>
          <w:sz w:val="22"/>
        </w:rPr>
        <w:t>是华润集团旗下负责城市建设与运营的战略业务单元，是内地领先的城市综合投资开发运营商。</w:t>
      </w:r>
    </w:p>
    <w:p>
      <w:pPr>
        <w:jc w:val="left"/>
      </w:pPr>
      <w:r>
        <w:rPr>
          <w:rFonts w:ascii="Times New Roman" w:hAnsi="Times New Roman" w:eastAsia="宋体" w:cs="Times New Roman"/>
          <w:b/>
          <w:color w:val="DE7802"/>
          <w:sz w:val="22"/>
        </w:rPr>
        <w:t>华润万象生活有限公司</w:t>
      </w:r>
      <w:r>
        <w:rPr>
          <w:rFonts w:ascii="Times New Roman" w:hAnsi="Times New Roman" w:eastAsia="宋体" w:cs="Times New Roman"/>
          <w:sz w:val="22"/>
        </w:rPr>
        <w:t>（公司简称：华润万象生活，股票代码HK.1209）是世界500强企业华润集团旗下战略业务单元华润置地的成员公司，是中国领先的物业管理及商业运营服务提供商和生活服务平台。公司为全球最大的住宅物业组合之一提供物业管理及增值服务，亦管理运营购物中心和写字楼等各种不断扩大的商业物业组合。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截至2021年6月30日，华润万象生活提供物业管理服务的住宅及商业物业建筑面积已达约1.61亿平方米，提供商业运营服务的购物中心建筑面积逾700万平方米。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其中，“万象城”、“万象天地”、“万象汇”三大商业产品线以及公司强大的商业运营管理能力享誉全国，同时，公司还拥有广泛的、多元化的国内外品牌合作资源，与超5000个国内外知名品牌达成战略合作。商业、物业、写字楼拥有逾2100万名会员。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未来，公司将加大对科技能力的投入，将科技创新作为公司最核心的优势，持续打造一体化生态体系，为客户创造更大的价值。</w:t>
      </w:r>
    </w:p>
    <w:p>
      <w:pPr>
        <w:jc w:val="left"/>
      </w:pPr>
    </w:p>
    <w:p>
      <w:pPr>
        <w:jc w:val="left"/>
        <w:rPr>
          <w:rFonts w:ascii="Times New Roman" w:hAnsi="Times New Roman" w:eastAsia="宋体" w:cs="Times New Roman"/>
          <w:b/>
          <w:color w:val="DE7802"/>
          <w:sz w:val="22"/>
        </w:rPr>
      </w:pPr>
      <w:r>
        <w:rPr>
          <w:rFonts w:ascii="Times New Roman" w:hAnsi="Times New Roman" w:eastAsia="宋体" w:cs="Times New Roman"/>
          <w:b/>
          <w:color w:val="DE7802"/>
          <w:sz w:val="22"/>
        </w:rPr>
        <w:t>华润万象生活2022</w:t>
      </w:r>
    </w:p>
    <w:p>
      <w:pPr>
        <w:jc w:val="left"/>
      </w:pPr>
      <w:r>
        <w:rPr>
          <w:rFonts w:ascii="Times New Roman" w:hAnsi="Times New Roman" w:eastAsia="宋体" w:cs="Times New Roman"/>
          <w:b/>
          <w:color w:val="DE7802"/>
          <w:sz w:val="22"/>
        </w:rPr>
        <w:t>校园招聘</w:t>
      </w:r>
      <w:r>
        <w:rPr>
          <w:rFonts w:ascii="Times New Roman" w:hAnsi="Times New Roman" w:eastAsia="宋体" w:cs="Times New Roman"/>
          <w:sz w:val="22"/>
        </w:rPr>
        <w:t>已全线启动，校园招聘团队将通过简历收集、在线测评、校园宣讲、面试等环节，面向海内外院校招聘优秀应届生加入。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我们拥有完善的培养体系，“新员工入职集中培训”以及“三年培养计划”等培养项目助力新伙伴快速成长；我们拥有优渥的薪酬福利，五险一金、福利年假、精美下午茶、工会俱乐部及各种内部员工折扣；我们具有年轻、富有激情的工作氛围，平等包容、潮流前沿、尊重员工个性。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我们期待你的加入，等候与你相遇！</w:t>
      </w:r>
    </w:p>
    <w:p>
      <w:pPr>
        <w:numPr>
          <w:ilvl w:val="0"/>
          <w:numId w:val="1"/>
        </w:numPr>
        <w:jc w:val="left"/>
      </w:pPr>
      <w:r>
        <w:rPr>
          <w:rFonts w:ascii="Times New Roman" w:hAnsi="Times New Roman" w:eastAsia="宋体" w:cs="Times New Roman"/>
          <w:sz w:val="22"/>
        </w:rPr>
        <w:t>招聘对象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毕业时间为2021年9月1日 - 2022年8月31日 的优秀应届生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【中国大陆（内地）以毕业证为准，中国港澳台及海外地区以学位证为准】</w:t>
      </w:r>
    </w:p>
    <w:p>
      <w:pPr>
        <w:numPr>
          <w:ilvl w:val="0"/>
          <w:numId w:val="2"/>
        </w:numPr>
        <w:jc w:val="left"/>
      </w:pPr>
      <w:r>
        <w:rPr>
          <w:rFonts w:ascii="Times New Roman" w:hAnsi="Times New Roman" w:eastAsia="宋体" w:cs="Times New Roman"/>
          <w:sz w:val="22"/>
        </w:rPr>
        <w:t>招聘流程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 xml:space="preserve">无领导小组讨论 →HR一对一面试 → </w:t>
      </w:r>
      <w:r>
        <w:rPr>
          <w:rFonts w:hint="eastAsia" w:ascii="Times New Roman" w:hAnsi="Times New Roman" w:eastAsia="宋体" w:cs="Times New Roman"/>
          <w:sz w:val="22"/>
        </w:rPr>
        <w:t>复试</w:t>
      </w:r>
      <w:r>
        <w:rPr>
          <w:rFonts w:ascii="Times New Roman" w:hAnsi="Times New Roman" w:eastAsia="宋体" w:cs="Times New Roman"/>
          <w:sz w:val="22"/>
        </w:rPr>
        <w:t xml:space="preserve"> → 终试</w:t>
      </w:r>
    </w:p>
    <w:p>
      <w:pPr>
        <w:numPr>
          <w:ilvl w:val="0"/>
          <w:numId w:val="3"/>
        </w:numPr>
        <w:jc w:val="left"/>
      </w:pPr>
      <w:r>
        <w:rPr>
          <w:rFonts w:ascii="Times New Roman" w:hAnsi="Times New Roman" w:eastAsia="宋体" w:cs="Times New Roman"/>
          <w:sz w:val="22"/>
        </w:rPr>
        <w:t>招聘岗位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*</w:t>
      </w:r>
      <w:r>
        <w:rPr>
          <w:rFonts w:ascii="Times New Roman" w:hAnsi="Times New Roman" w:eastAsia="宋体" w:cs="Times New Roman"/>
          <w:sz w:val="22"/>
        </w:rPr>
        <w:br w:type="textWrapping"/>
      </w:r>
    </w:p>
    <w:tbl>
      <w:tblPr>
        <w:tblStyle w:val="2"/>
        <w:tblW w:w="8650" w:type="dxa"/>
        <w:tblInd w:w="1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4"/>
        <w:gridCol w:w="2893"/>
        <w:gridCol w:w="292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8F959E"/>
                <w:sz w:val="22"/>
              </w:rPr>
              <w:t>单位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8F959E"/>
                <w:sz w:val="22"/>
              </w:rPr>
              <w:t>工作城市</w:t>
            </w:r>
          </w:p>
        </w:tc>
        <w:tc>
          <w:tcPr>
            <w:tcW w:w="292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8F959E"/>
                <w:sz w:val="22"/>
              </w:rPr>
              <w:t>岗位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深圳万象城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深圳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环境管理岗、工程管理岗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商业华东大区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上海、杭州、南京、温州、扬州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前介管理岗、工程管理岗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商业华南大区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深圳、南宁、福州、厦门、汕头、桂林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物业管理岗、品质管理岗、客户服务岗、环境管理岗、工程管理岗、工程管理岗（土建方向）、工程管理岗（电气方向）、人力资源岗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商业华西大区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成都、西安、贵阳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品质管理岗、客户服务岗、工程管理岗、工程管理岗（消防方向）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商业华中大区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武汉、南昌、赣州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品质管理岗、工程管理岗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物业北京中心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北京、天津、石家庄、唐山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资产经营岗、市场拓展岗、项目管理岗、品质管理岗、前介管理岗、工程管理岗、人力资源岗、财务管理岗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物业济南中心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济南、郑州、青岛、日照、临沂、太原、烟台、威海、淄博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品质管理岗、客户服务岗、环境管理岗、前介管理岗、工程管理岗、运营管理岗、人力资源岗、财务管理岗、招标采购岗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物业上海中心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上海、杭州、宁波、温州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资产管理岗、市场拓展岗、项目管理岗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物业南京中心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南京、苏州、无锡、常州、南通、徐州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资产经营岗、市场拓展岗、项目管理岗、运营管理岗、环境管理岗、客户服务岗、工程管理岗、人力资源岗、财务管理岗、党务工作岗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物业深圳中心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区域内轮岗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资产经营岗、市场拓展岗、运营管理岗、品质管理岗、客户服务岗、环境管理岗、工程管理岗、人力资源岗、财务管理岗、招标采购岗、安全管理岗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物业福州中心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福州、汕头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资产管理岗、市场拓展岗、客户服务岗、工程管理岗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物业南宁中心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南宁、柳州、桂林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客户服务岗、房屋经纪岗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物业沈阳中心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沈阳、长春、哈尔滨、大连、鞍山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客户服务岗、工程管理岗、工程管理岗（强电方向）、薪酬绩效岗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物业武汉中心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武汉、长沙、合肥、南昌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市场拓展岗、客户服务岗、房屋经纪岗、工程管理岗、工程管理岗（综合维修）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物业润联中心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十堰、武汉、襄阳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客户服务岗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物业成都中心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成都、西安、兰州、银川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市场拓展岗、客户服务岗、环境管理岗、工程管理岗、人力资源岗、安全管理岗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834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物业重庆中心</w:t>
            </w:r>
          </w:p>
        </w:tc>
        <w:tc>
          <w:tcPr>
            <w:tcW w:w="2893" w:type="dxa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重庆、昆明、贵阳</w:t>
            </w:r>
          </w:p>
        </w:tc>
        <w:tc>
          <w:tcPr>
            <w:tcW w:w="2923" w:type="dxa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1F2329"/>
                <w:sz w:val="22"/>
              </w:rPr>
              <w:t>客户服务岗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具体职位、岗位描述、专业要求可登录招聘官网进行了解</w:t>
      </w:r>
    </w:p>
    <w:p>
      <w:pPr>
        <w:jc w:val="center"/>
        <w:rPr>
          <w:rFonts w:ascii="Times New Roman" w:hAnsi="Times New Roman" w:eastAsia="宋体" w:cs="Times New Roman"/>
          <w:sz w:val="22"/>
        </w:rPr>
      </w:pPr>
    </w:p>
    <w:p>
      <w:pPr>
        <w:jc w:val="center"/>
        <w:rPr>
          <w:rFonts w:ascii="Times New Roman" w:hAnsi="Times New Roman" w:eastAsia="宋体" w:cs="Times New Roman"/>
          <w:sz w:val="22"/>
        </w:rPr>
      </w:pPr>
    </w:p>
    <w:p>
      <w:pPr>
        <w:jc w:val="center"/>
        <w:rPr>
          <w:rFonts w:ascii="Times New Roman" w:hAnsi="Times New Roman" w:eastAsia="宋体" w:cs="Times New Roman"/>
          <w:sz w:val="22"/>
        </w:rPr>
      </w:pPr>
    </w:p>
    <w:p>
      <w:pPr>
        <w:numPr>
          <w:ilvl w:val="0"/>
          <w:numId w:val="4"/>
        </w:numPr>
        <w:ind w:left="0" w:leftChars="0" w:firstLineChars="0"/>
        <w:jc w:val="left"/>
      </w:pPr>
      <w:r>
        <w:rPr>
          <w:rFonts w:ascii="Times New Roman" w:hAnsi="Times New Roman" w:eastAsia="宋体" w:cs="Times New Roman"/>
          <w:sz w:val="22"/>
        </w:rPr>
        <w:t>投递方式：</w:t>
      </w:r>
    </w:p>
    <w:p>
      <w:pPr>
        <w:jc w:val="left"/>
      </w:pP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drawing>
          <wp:inline distT="0" distB="0" distL="0" distR="0">
            <wp:extent cx="3095625" cy="3095625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进入网申通道后，点击“招聘岗位”，可按“工作地点”以及“岗位类别”进行筛选，选择合适岗位投递简历。网站链接：</w:t>
      </w:r>
      <w:r>
        <w:fldChar w:fldCharType="begin"/>
      </w:r>
      <w:r>
        <w:instrText xml:space="preserve"> HYPERLINK "http://2022.yingjiesheng.com/crland/wys.html?diyclass=wys&amp;num=0&amp;random=0.12886225140070873" \h </w:instrText>
      </w:r>
      <w:r>
        <w:fldChar w:fldCharType="separate"/>
      </w:r>
      <w:r>
        <w:rPr>
          <w:rFonts w:ascii="Times New Roman" w:hAnsi="Times New Roman" w:eastAsia="宋体" w:cs="Times New Roman"/>
          <w:color w:val="1A84EE"/>
          <w:sz w:val="22"/>
        </w:rPr>
        <w:t>http://2022.yingjiesheng.com/crland/wys.html?diyclass=wys&amp;num=0&amp;random=0.12886225140070873</w:t>
      </w:r>
      <w:r>
        <w:rPr>
          <w:rFonts w:ascii="Times New Roman" w:hAnsi="Times New Roman" w:eastAsia="宋体" w:cs="Times New Roman"/>
          <w:color w:val="1A84EE"/>
          <w:sz w:val="22"/>
        </w:rPr>
        <w:fldChar w:fldCharType="end"/>
      </w:r>
    </w:p>
    <w:p>
      <w:pPr>
        <w:jc w:val="left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或扫描移动端网申二维码</w:t>
      </w: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jc w:val="left"/>
        <w:rPr>
          <w:rFonts w:ascii="Times New Roman" w:hAnsi="Times New Roman" w:eastAsia="宋体" w:cs="Times New Roman"/>
          <w:sz w:val="22"/>
        </w:rPr>
      </w:pPr>
    </w:p>
    <w:p>
      <w:pPr>
        <w:numPr>
          <w:ilvl w:val="0"/>
          <w:numId w:val="5"/>
        </w:numPr>
        <w:ind w:left="0" w:leftChars="0" w:firstLineChars="0"/>
        <w:jc w:val="left"/>
      </w:pPr>
      <w:r>
        <w:rPr>
          <w:rFonts w:ascii="Times New Roman" w:hAnsi="Times New Roman" w:eastAsia="宋体" w:cs="Times New Roman"/>
          <w:sz w:val="22"/>
        </w:rPr>
        <w:t>空中宣讲会</w:t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华润万象生活2022届校园招聘空中宣讲会将于9月28日19：00正式上线，学长学姐带你深入了解华润万象生活，同学们速来围观哟！观看链接：</w:t>
      </w:r>
      <w:r>
        <w:fldChar w:fldCharType="begin"/>
      </w:r>
      <w:r>
        <w:instrText xml:space="preserve"> HYPERLINK "https://live.shixiseng.com/preview/3605" \h </w:instrText>
      </w:r>
      <w:r>
        <w:fldChar w:fldCharType="separate"/>
      </w:r>
      <w:r>
        <w:rPr>
          <w:rFonts w:ascii="Times New Roman" w:hAnsi="Times New Roman" w:eastAsia="宋体" w:cs="Times New Roman"/>
          <w:color w:val="1A84EE"/>
          <w:sz w:val="22"/>
        </w:rPr>
        <w:t>https://live.shixiseng.com/preview/3605</w:t>
      </w:r>
      <w:r>
        <w:rPr>
          <w:rFonts w:ascii="Times New Roman" w:hAnsi="Times New Roman" w:eastAsia="宋体" w:cs="Times New Roman"/>
          <w:color w:val="1A84EE"/>
          <w:sz w:val="22"/>
        </w:rPr>
        <w:fldChar w:fldCharType="end"/>
      </w:r>
    </w:p>
    <w:p>
      <w:pPr>
        <w:jc w:val="left"/>
      </w:pPr>
    </w:p>
    <w:p>
      <w:pPr>
        <w:jc w:val="center"/>
      </w:pPr>
      <w:r>
        <w:rPr>
          <w:rFonts w:ascii="Times New Roman" w:hAnsi="Times New Roman" w:eastAsia="宋体" w:cs="Times New Roman"/>
          <w:sz w:val="22"/>
        </w:rPr>
        <w:t>来万象生活，创生活万象</w:t>
      </w:r>
    </w:p>
    <w:p>
      <w:pPr>
        <w:jc w:val="center"/>
      </w:pP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drawing>
          <wp:inline distT="0" distB="0" distL="0" distR="0">
            <wp:extent cx="3695700" cy="3695700"/>
            <wp:effectExtent l="0" t="0" r="0" b="0"/>
            <wp:docPr id="3" name="Picture 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Times New Roman" w:hAnsi="Times New Roman" w:eastAsia="宋体" w:cs="Times New Roman"/>
          <w:sz w:val="22"/>
        </w:rPr>
        <w:t>关注“华润万象生活招聘”公众号，了解更多详情</w:t>
      </w:r>
    </w:p>
    <w:p>
      <w:pPr>
        <w:jc w:val="left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1" o:spid="_x0000_s4098" o:spt="136" type="#_x0000_t136" style="position:absolute;left:0pt;height:56pt;width:275pt;mso-position-horizontal:center;mso-position-horizontal-relative:margin;mso-position-vertical:center;mso-position-vertical-relative:margin;rotation:20643840f;z-index:-251656192;mso-width-relative:page;mso-height-relative:page;" fillcolor="#000000" filled="t" stroked="f" coordsize="21600,21600">
          <v:path/>
          <v:fill on="t" opacity="9830f" focussize="0,0"/>
          <v:stroke on="f"/>
          <v:imagedata o:title=""/>
          <o:lock v:ext="edit"/>
          <v:textpath on="t" fitshape="t" fitpath="t" trim="f" xscale="f" string="唐小奕 9966" style="font-family:Lantinghei SC Demibold;font-size:50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3" o:spid="_x0000_s4099" o:spt="136" type="#_x0000_t136" style="position:absolute;left:0pt;height:207.5pt;width:415pt;mso-position-horizontal:center;mso-position-horizontal-relative:margin;mso-position-vertical:center;mso-position-vertical-relative:margin;z-index:-251657216;mso-width-relative:page;mso-height-relative:page;" fillcolor="#000000" filled="t" stroked="f" coordsize="21600,21600" adj="10800">
          <v:path/>
          <v:fill on="t" focussize="0,0"/>
          <v:stroke on="f"/>
          <v:imagedata o:title=""/>
          <o:lock v:ext="edit" text="f"/>
          <v:textpath on="t" fitshape="t" fitpath="t" trim="f" xscale="f" string="唐小奕 9966" style="font-family:&amp;quot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2" o:spid="_x0000_s4097" o:spt="136" type="#_x0000_t136" style="position:absolute;left:0pt;height:207.5pt;width:415pt;mso-position-horizontal:center;mso-position-horizontal-relative:margin;mso-position-vertical:center;mso-position-vertical-relative:margin;z-index:-251657216;mso-width-relative:page;mso-height-relative:page;" fillcolor="#000000" filled="t" stroked="f" coordsize="21600,21600" adj="10800">
          <v:path/>
          <v:fill on="t" focussize="0,0"/>
          <v:stroke on="f"/>
          <v:imagedata o:title=""/>
          <o:lock v:ext="edit" text="f"/>
          <v:textpath on="t" fitshape="t" fitpath="t" trim="f" xscale="f" string="唐小奕 9966" style="font-family:&amp;quot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70B87"/>
    <w:multiLevelType w:val="multilevel"/>
    <w:tmpl w:val="00B70B87"/>
    <w:lvl w:ilvl="0" w:tentative="0">
      <w:start w:val="4"/>
      <w:numFmt w:val="decimal"/>
      <w:suff w:val="space"/>
      <w:lvlText w:val="%1."/>
      <w:lvlJc w:val="left"/>
      <w:pPr>
        <w:ind w:left="-1360"/>
      </w:pPr>
      <w:rPr>
        <w:color w:val="0070F0"/>
      </w:rPr>
    </w:lvl>
    <w:lvl w:ilvl="1" w:tentative="0">
      <w:start w:val="0"/>
      <w:numFmt w:val="decimal"/>
      <w:lvlText w:val=""/>
      <w:lvlJc w:val="left"/>
      <w:pPr>
        <w:ind w:left="-1360"/>
      </w:pPr>
    </w:lvl>
    <w:lvl w:ilvl="2" w:tentative="0">
      <w:start w:val="0"/>
      <w:numFmt w:val="decimal"/>
      <w:lvlText w:val=""/>
      <w:lvlJc w:val="left"/>
      <w:pPr>
        <w:ind w:left="-1360"/>
      </w:pPr>
    </w:lvl>
    <w:lvl w:ilvl="3" w:tentative="0">
      <w:start w:val="0"/>
      <w:numFmt w:val="decimal"/>
      <w:lvlText w:val=""/>
      <w:lvlJc w:val="left"/>
      <w:pPr>
        <w:ind w:left="-1360"/>
      </w:pPr>
    </w:lvl>
    <w:lvl w:ilvl="4" w:tentative="0">
      <w:start w:val="0"/>
      <w:numFmt w:val="decimal"/>
      <w:lvlText w:val=""/>
      <w:lvlJc w:val="left"/>
      <w:pPr>
        <w:ind w:left="-1360"/>
      </w:pPr>
    </w:lvl>
    <w:lvl w:ilvl="5" w:tentative="0">
      <w:start w:val="0"/>
      <w:numFmt w:val="decimal"/>
      <w:lvlText w:val=""/>
      <w:lvlJc w:val="left"/>
      <w:pPr>
        <w:ind w:left="-1360"/>
      </w:pPr>
    </w:lvl>
    <w:lvl w:ilvl="6" w:tentative="0">
      <w:start w:val="0"/>
      <w:numFmt w:val="decimal"/>
      <w:lvlText w:val=""/>
      <w:lvlJc w:val="left"/>
      <w:pPr>
        <w:ind w:left="-1360"/>
      </w:pPr>
    </w:lvl>
    <w:lvl w:ilvl="7" w:tentative="0">
      <w:start w:val="0"/>
      <w:numFmt w:val="decimal"/>
      <w:lvlText w:val=""/>
      <w:lvlJc w:val="left"/>
      <w:pPr>
        <w:ind w:left="-1360"/>
      </w:pPr>
    </w:lvl>
    <w:lvl w:ilvl="8" w:tentative="0">
      <w:start w:val="0"/>
      <w:numFmt w:val="decimal"/>
      <w:lvlText w:val=""/>
      <w:lvlJc w:val="left"/>
      <w:pPr>
        <w:ind w:left="-1360"/>
      </w:pPr>
    </w:lvl>
  </w:abstractNum>
  <w:abstractNum w:abstractNumId="1">
    <w:nsid w:val="356052C0"/>
    <w:multiLevelType w:val="multilevel"/>
    <w:tmpl w:val="356052C0"/>
    <w:lvl w:ilvl="0" w:tentative="0">
      <w:start w:val="1"/>
      <w:numFmt w:val="decimal"/>
      <w:suff w:val="space"/>
      <w:lvlText w:val="%1."/>
      <w:lvlJc w:val="left"/>
      <w:rPr>
        <w:color w:val="0070F0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78552011"/>
    <w:multiLevelType w:val="multilevel"/>
    <w:tmpl w:val="78552011"/>
    <w:lvl w:ilvl="0" w:tentative="0">
      <w:start w:val="2"/>
      <w:numFmt w:val="decimal"/>
      <w:suff w:val="space"/>
      <w:lvlText w:val="%1."/>
      <w:lvlJc w:val="left"/>
      <w:rPr>
        <w:color w:val="0070F0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90347AE"/>
    <w:multiLevelType w:val="multilevel"/>
    <w:tmpl w:val="790347AE"/>
    <w:lvl w:ilvl="0" w:tentative="0">
      <w:start w:val="3"/>
      <w:numFmt w:val="decimal"/>
      <w:suff w:val="space"/>
      <w:lvlText w:val="%1."/>
      <w:lvlJc w:val="left"/>
      <w:rPr>
        <w:color w:val="0070F0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FB34549"/>
    <w:multiLevelType w:val="multilevel"/>
    <w:tmpl w:val="7FB34549"/>
    <w:lvl w:ilvl="0" w:tentative="0">
      <w:start w:val="5"/>
      <w:numFmt w:val="decimal"/>
      <w:suff w:val="space"/>
      <w:lvlText w:val="%1."/>
      <w:lvlJc w:val="left"/>
      <w:pPr>
        <w:ind w:left="-1360"/>
      </w:pPr>
      <w:rPr>
        <w:color w:val="0070F0"/>
      </w:rPr>
    </w:lvl>
    <w:lvl w:ilvl="1" w:tentative="0">
      <w:start w:val="0"/>
      <w:numFmt w:val="decimal"/>
      <w:lvlText w:val=""/>
      <w:lvlJc w:val="left"/>
      <w:pPr>
        <w:ind w:left="-1360"/>
      </w:pPr>
    </w:lvl>
    <w:lvl w:ilvl="2" w:tentative="0">
      <w:start w:val="0"/>
      <w:numFmt w:val="decimal"/>
      <w:lvlText w:val=""/>
      <w:lvlJc w:val="left"/>
      <w:pPr>
        <w:ind w:left="-1360"/>
      </w:pPr>
    </w:lvl>
    <w:lvl w:ilvl="3" w:tentative="0">
      <w:start w:val="0"/>
      <w:numFmt w:val="decimal"/>
      <w:lvlText w:val=""/>
      <w:lvlJc w:val="left"/>
      <w:pPr>
        <w:ind w:left="-1360"/>
      </w:pPr>
    </w:lvl>
    <w:lvl w:ilvl="4" w:tentative="0">
      <w:start w:val="0"/>
      <w:numFmt w:val="decimal"/>
      <w:lvlText w:val=""/>
      <w:lvlJc w:val="left"/>
      <w:pPr>
        <w:ind w:left="-1360"/>
      </w:pPr>
    </w:lvl>
    <w:lvl w:ilvl="5" w:tentative="0">
      <w:start w:val="0"/>
      <w:numFmt w:val="decimal"/>
      <w:lvlText w:val=""/>
      <w:lvlJc w:val="left"/>
      <w:pPr>
        <w:ind w:left="-1360"/>
      </w:pPr>
    </w:lvl>
    <w:lvl w:ilvl="6" w:tentative="0">
      <w:start w:val="0"/>
      <w:numFmt w:val="decimal"/>
      <w:lvlText w:val=""/>
      <w:lvlJc w:val="left"/>
      <w:pPr>
        <w:ind w:left="-1360"/>
      </w:pPr>
    </w:lvl>
    <w:lvl w:ilvl="7" w:tentative="0">
      <w:start w:val="0"/>
      <w:numFmt w:val="decimal"/>
      <w:lvlText w:val=""/>
      <w:lvlJc w:val="left"/>
      <w:pPr>
        <w:ind w:left="-1360"/>
      </w:pPr>
    </w:lvl>
    <w:lvl w:ilvl="8" w:tentative="0">
      <w:start w:val="0"/>
      <w:numFmt w:val="decimal"/>
      <w:lvlText w:val=""/>
      <w:lvlJc w:val="left"/>
      <w:pPr>
        <w:ind w:left="-1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DA"/>
    <w:rsid w:val="00C959C1"/>
    <w:rsid w:val="00D82498"/>
    <w:rsid w:val="00D830DA"/>
    <w:rsid w:val="0E734F41"/>
    <w:rsid w:val="21601796"/>
    <w:rsid w:val="787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341</Words>
  <Characters>1946</Characters>
  <Lines>16</Lines>
  <Paragraphs>4</Paragraphs>
  <TotalTime>4</TotalTime>
  <ScaleCrop>false</ScaleCrop>
  <LinksUpToDate>false</LinksUpToDate>
  <CharactersWithSpaces>2283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2021-09-22T09:17:00Z</dcterms:created>
  <dc:creator>Apache POI</dc:creator>
  <cp:lastModifiedBy>火火宝贝</cp:lastModifiedBy>
  <dcterms:modified xsi:type="dcterms:W3CDTF">2021-09-28T07:10:02Z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DF8D24393B6D4FC29A5CFBEB5EF00935</vt:lpwstr>
  </property>
</Properties>
</file>