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496" w:rsidRPr="00F40B82" w:rsidRDefault="00876496" w:rsidP="00876496">
      <w:pPr>
        <w:shd w:val="clear" w:color="auto" w:fill="FFFFFF"/>
        <w:adjustRightInd/>
        <w:snapToGrid/>
        <w:spacing w:after="0"/>
        <w:rPr>
          <w:rFonts w:asciiTheme="majorEastAsia" w:eastAsiaTheme="majorEastAsia" w:hAnsiTheme="majorEastAsia" w:cs="宋体"/>
          <w:b/>
          <w:vanish/>
          <w:sz w:val="24"/>
          <w:szCs w:val="24"/>
        </w:rPr>
      </w:pPr>
      <w:r w:rsidRPr="00F40B82">
        <w:rPr>
          <w:rFonts w:asciiTheme="majorEastAsia" w:eastAsiaTheme="majorEastAsia" w:hAnsiTheme="majorEastAsia" w:cs="宋体" w:hint="eastAsia"/>
          <w:b/>
          <w:vanish/>
          <w:sz w:val="24"/>
          <w:szCs w:val="24"/>
        </w:rPr>
        <w:t>信息公开_其他</w:t>
      </w:r>
    </w:p>
    <w:p w:rsidR="00876496" w:rsidRPr="00F40B82" w:rsidRDefault="00876496" w:rsidP="00876496">
      <w:pPr>
        <w:shd w:val="clear" w:color="auto" w:fill="FFFFFF"/>
        <w:adjustRightInd/>
        <w:snapToGrid/>
        <w:spacing w:before="100" w:beforeAutospacing="1" w:after="100" w:afterAutospacing="1"/>
        <w:jc w:val="center"/>
        <w:outlineLvl w:val="1"/>
        <w:rPr>
          <w:rFonts w:asciiTheme="majorEastAsia" w:eastAsiaTheme="majorEastAsia" w:hAnsiTheme="majorEastAsia" w:cs="宋体"/>
          <w:b/>
          <w:bCs/>
          <w:color w:val="4B4B4B"/>
          <w:kern w:val="36"/>
          <w:sz w:val="30"/>
          <w:szCs w:val="30"/>
        </w:rPr>
      </w:pPr>
      <w:r w:rsidRPr="00F40B82">
        <w:rPr>
          <w:rFonts w:asciiTheme="majorEastAsia" w:eastAsiaTheme="majorEastAsia" w:hAnsiTheme="majorEastAsia" w:cs="宋体" w:hint="eastAsia"/>
          <w:b/>
          <w:bCs/>
          <w:color w:val="4B4B4B"/>
          <w:kern w:val="36"/>
          <w:sz w:val="30"/>
          <w:szCs w:val="30"/>
        </w:rPr>
        <w:t>教育部等八部门关于加快构建高校</w:t>
      </w:r>
      <w:r w:rsidRPr="00F40B82">
        <w:rPr>
          <w:rFonts w:asciiTheme="majorEastAsia" w:eastAsiaTheme="majorEastAsia" w:hAnsiTheme="majorEastAsia" w:cs="宋体" w:hint="eastAsia"/>
          <w:b/>
          <w:bCs/>
          <w:color w:val="4B4B4B"/>
          <w:kern w:val="36"/>
          <w:sz w:val="30"/>
          <w:szCs w:val="30"/>
        </w:rPr>
        <w:br/>
        <w:t>思想政治工作体系的意见</w:t>
      </w:r>
    </w:p>
    <w:p w:rsidR="00876496" w:rsidRPr="00F40B82" w:rsidRDefault="00876496" w:rsidP="00876496">
      <w:pPr>
        <w:shd w:val="clear" w:color="auto" w:fill="FFFFFF"/>
        <w:adjustRightInd/>
        <w:snapToGrid/>
        <w:spacing w:before="100" w:beforeAutospacing="1" w:after="100" w:afterAutospacing="1" w:line="480" w:lineRule="atLeast"/>
        <w:jc w:val="right"/>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教思政〔2020〕1号</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各省、自治区、直辖市教育厅（教委）、党委组织部、党委宣传部、党委政法委、网信办、财政厅（局）、人力资源社会保障厅（局）、团委，新疆生产建设兵团教育局、党委组织部、党委宣传部、党委政法委、网信办、财政局、人力资源社会保障局、团委，部属各高等学校、部省合建各高等学校：</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为深入贯彻落实习近平新时代中国特色社会主义思想，贯彻落实党的十九大和十九届二中、三中、四中全会精神，学习贯彻习近平总书记关于教育的重要论述，加快构建高校思想政治工作体系，努力培养担当民族复兴大任的时代新人，培养德智体美劳全面发展的社会主义建设者和接班人，现提出如下意见。</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w:t>
      </w:r>
      <w:r w:rsidRPr="00F40B82">
        <w:rPr>
          <w:rFonts w:asciiTheme="minorEastAsia" w:eastAsiaTheme="minorEastAsia" w:hAnsiTheme="minorEastAsia" w:cs="宋体" w:hint="eastAsia"/>
          <w:b/>
          <w:bCs/>
          <w:color w:val="4B4B4B"/>
          <w:sz w:val="24"/>
          <w:szCs w:val="24"/>
        </w:rPr>
        <w:t>一、指导思想和目标任务</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1.指导思想。以习近平新时代中国特色社会主义思想为指导，全面贯彻党的教育方针，坚持和加强党的全面领导，坚持社会主义办学方向，以立德树人为根本，以理想信念教育为核心，以培育和践行社会主义核心价值观为主线，以建立完善全员、全程、全方位育人体制机制为关键，全面提升高校思想政治工作质量。</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2.目标任务。健全立德树人体制机制，把立德树人融入思想道德、文化知识、社会实践教育各环节，贯通学科体系、教学体系、教材体系、管理体系，加快构建目标明确、内容完善、标准健全、运行科学、保障有力、成效显著的高校思想政治工作体系。</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lastRenderedPageBreak/>
        <w:t xml:space="preserve">　　</w:t>
      </w:r>
      <w:r w:rsidRPr="00F40B82">
        <w:rPr>
          <w:rFonts w:asciiTheme="minorEastAsia" w:eastAsiaTheme="minorEastAsia" w:hAnsiTheme="minorEastAsia" w:cs="宋体" w:hint="eastAsia"/>
          <w:b/>
          <w:bCs/>
          <w:color w:val="4B4B4B"/>
          <w:sz w:val="24"/>
          <w:szCs w:val="24"/>
        </w:rPr>
        <w:t>二、理论武装体系</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3.加强政治引领。把坚持以马克思主义为指导落实到教育教学各方面，对各种错误观点和思潮旗帜鲜明予以抵制。全面推动习近平新时代中国特色社会主义思想进教材、进课堂、进师生头脑，开展理论教育培训，编写出版理论读物，打造示范课堂，运用各种载体分群体深入开展习近平新时代中国特色社会主义思想学习研究宣传工作。推动理想信念教育常态化、制度化，加强党史、新中国史、改革开放史、社会主义发展史教育，加强爱国主义、集体主义、社会主义教育，把制度自信的种子播撒进青少年心灵，引导师生不断增强“四个自信”。推动领导干部、“两院”院士等专家学者、各方面英雄模范人物进校园开展思想政治教育。</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4.厚植爱国情怀。贯彻落实《新时代爱国主义教育实施纲要》，打造推广一批富有爱国主义教育意义的文化作品，定期举行集体升国旗、唱国歌仪式，有效利用重大活动、开学典礼、毕业典礼、重大纪念日、主题党团日等契机和重点文化基础设施开展爱国主义教育。</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5.强化价值引导。研究制定体现社会主义核心价值观要求的师生行为规范，组织国家勋章和国家荣誉称号获得者、最美奋斗者、改革先锋、时代楷模等新时代先进人物走进高校，面向广大师生开展思想政治教育。开展教书育人楷模、思政课教师年度人物、高校辅导员年度人物、大学生年度人物等先进典型的宣传选树。</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w:t>
      </w:r>
      <w:r w:rsidRPr="00F40B82">
        <w:rPr>
          <w:rFonts w:asciiTheme="minorEastAsia" w:eastAsiaTheme="minorEastAsia" w:hAnsiTheme="minorEastAsia" w:cs="宋体" w:hint="eastAsia"/>
          <w:b/>
          <w:bCs/>
          <w:color w:val="4B4B4B"/>
          <w:sz w:val="24"/>
          <w:szCs w:val="24"/>
        </w:rPr>
        <w:t>三、学科教学体系</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6.办好思想政治理论课。按照“八个相统一”要求，扎实推进思想政治理论课建设思路创优、师资创优、教材创优、教法创优、机制创优、环境创优。</w:t>
      </w:r>
      <w:r w:rsidRPr="00F40B82">
        <w:rPr>
          <w:rFonts w:asciiTheme="minorEastAsia" w:eastAsiaTheme="minorEastAsia" w:hAnsiTheme="minorEastAsia" w:cs="宋体" w:hint="eastAsia"/>
          <w:color w:val="4B4B4B"/>
          <w:sz w:val="24"/>
          <w:szCs w:val="24"/>
        </w:rPr>
        <w:lastRenderedPageBreak/>
        <w:t>遴选名师大师参与思想政治理论课讲授。把新媒体新技术引入高校思想政治理论课教学，打造高校思想政治理论课资源平台和网络集体备课平台。</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7.强化哲学社会科学育人作用。强化马克思主义理论学科引领作用，推出一批中国特色哲学社会科学精品力作。加强哲学社会科学教材规划编审和规范选用工作。加大哲学社会科学各学科专业中的马克思主义理论类课程建设。扎实推进哲学社会科学专业课程思政建设，文学、历史学、哲学类专业课程要帮助学生掌握马克思主义世界观和方法论，从历史与现实、理论与实践等相结合的维度深刻理解习近平新时代中国特色社会主义思想。经济学、管理学、法学类专业课程要培育学生经世济民、诚信服务、德法兼修的职业素养。教育学类专业课程要注重加强师德师风教育，引导学生树立学为人师、行为世范的职业理想。</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8.全面推进所有学科课程思政建设。统筹课程思政与思政课程建设，构建全面覆盖、类型丰富、层次递进、相互支撑的课程体系。重点建设一批提高大学生思想道德修养、人文素质、科学精神和认知能力的公共基础课程。理学、工学类专业课程要注重科学思维方法的训练和科技伦理的教育，培养学生探索未知、追求真理、勇攀科学高峰的责任感和使命感，培养学生精益求精的大国工匠精神。农学类专业课程要注重培养学生的大国“三农”情怀，引导学生“懂农业、爱农村、爱农民”。医学类专业课程要注重加强医德医风教育，注重加强医者仁心教育，教育引导学生尊重患者，学会沟通，提升综合素养。艺术学类专业课程要教育引导学生树立正确的艺术观和创作观，积极弘扬中华美育精神。</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9.充分发挥科研育人功能。构建集教育、预防、监督、惩治于一体的学术诚信体系。提高研究生导师开展思想政治教育意识和能力。持续开展全国科学</w:t>
      </w:r>
      <w:r w:rsidRPr="00F40B82">
        <w:rPr>
          <w:rFonts w:asciiTheme="minorEastAsia" w:eastAsiaTheme="minorEastAsia" w:hAnsiTheme="minorEastAsia" w:cs="宋体" w:hint="eastAsia"/>
          <w:color w:val="4B4B4B"/>
          <w:sz w:val="24"/>
          <w:szCs w:val="24"/>
        </w:rPr>
        <w:lastRenderedPageBreak/>
        <w:t>道德和学风建设宣讲教育、“共和国的脊梁——科学大师名校宣传工程”等系列活动。</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w:t>
      </w:r>
      <w:r w:rsidRPr="00F40B82">
        <w:rPr>
          <w:rFonts w:asciiTheme="minorEastAsia" w:eastAsiaTheme="minorEastAsia" w:hAnsiTheme="minorEastAsia" w:cs="宋体" w:hint="eastAsia"/>
          <w:b/>
          <w:bCs/>
          <w:color w:val="4B4B4B"/>
          <w:sz w:val="24"/>
          <w:szCs w:val="24"/>
        </w:rPr>
        <w:t>四、日常教育体系</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10.深化实践教育。把思想政治教育融入社会实践、志愿服务、实习实训等活动中，创办形式多样的“行走课堂”。健全志愿服务体系，深入开展“青年红色筑梦之旅”“‘小我融入大我，青春献给祖国’主题社会实践”等活动。推动构建政府、社会、学校协同联动的“实践育人共同体”，挖掘和编制“资源图谱”，加强劳动教育。</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11.繁荣校园文化。坚持培育优良校风教风学风，持续开展文明校园创建活动。建设一批文化传承基地。发挥校园建筑景观、文物和校史校训校歌的文化价值。加强高校原创文化精品创作与推广。</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12.加强网络育人。提升校园新媒体网络平台的服务力、吸引力和粘合度，切实增强易班网、中国大学生在线等网络阵地的示范性、引领性和辐射度，重点建设一批高校思政类公众号，发挥新媒体平台对高校思政工作的促进作用。引导和扶持师生积极创作导向正确、内容生动、形式多样的网络文化产品。建设高校网络文化研究评价中心，推动将优秀网络文化成果纳入科研成果评价统计。各高校应按照在校生总数每生每年不低于30元的标准设立网络思政工作专项经费。</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13.促进心理健康。把心理健康教育课程纳入整体教学计划，按师生比不低于1:4000比例配备专业教师，每校至少配备2名。发挥心理健康教育教师、辅导员、班主任等育人主体的作用，规范发展心理健康教育与咨询服务。强化心理问题早期发现和科学干预，推广应用《中国大学生心理健康筛查量表》和</w:t>
      </w:r>
      <w:r w:rsidRPr="00F40B82">
        <w:rPr>
          <w:rFonts w:asciiTheme="minorEastAsia" w:eastAsiaTheme="minorEastAsia" w:hAnsiTheme="minorEastAsia" w:cs="宋体" w:hint="eastAsia"/>
          <w:color w:val="4B4B4B"/>
          <w:sz w:val="24"/>
          <w:szCs w:val="24"/>
        </w:rPr>
        <w:lastRenderedPageBreak/>
        <w:t>“心理健康网络测评系统”，提升预警预防、咨询服务、干预转介工作的科学性、前瞻性和针对性。</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w:t>
      </w:r>
      <w:r w:rsidRPr="00F40B82">
        <w:rPr>
          <w:rFonts w:asciiTheme="minorEastAsia" w:eastAsiaTheme="minorEastAsia" w:hAnsiTheme="minorEastAsia" w:cs="宋体" w:hint="eastAsia"/>
          <w:b/>
          <w:bCs/>
          <w:color w:val="4B4B4B"/>
          <w:sz w:val="24"/>
          <w:szCs w:val="24"/>
        </w:rPr>
        <w:t>五、管理服务体系</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14.提高管理服务水平。健全管理服务育人制度体系，宣传推广一批管理服务育人的先进经验和典型做法，大力营造治理有方、管理到位、风清气正的制度育人环境。</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15.加强群团组织建设。增强工会、共青团、妇联等群团组织的政治性、先进性、群众性。推动学生会（研究生会）改革，强化党的领导，健全骨干遴选程序。加强学生社团建设管理，着力构建党委统一领导、团委具体管理的工作机制，配齐配强指导教师，突出分类指导，支持有序发展。</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16.推动“一站式”学生社区建设。依托书院、宿舍等学生生活园区，探索学生组织形式、管理模式、服务机制改革，推进党团组织、管理部门、服务单位等进驻园区开展工作，把校院领导力量、管理力量、服务力量、思政力量压到教育管理服务学生一线，将园区打造成为集学生思想教育、师生交流、文化活动、生活服务于一体的教育生活园地。</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17.完善精准资助育人。精准认定家庭经济困难学生，健全四级资助认定工作机制，完善档案、动态管理。建设发展型资助体系，加大家庭经济困难学生能力素养培育力度。</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w:t>
      </w:r>
      <w:r w:rsidRPr="00F40B82">
        <w:rPr>
          <w:rFonts w:asciiTheme="minorEastAsia" w:eastAsiaTheme="minorEastAsia" w:hAnsiTheme="minorEastAsia" w:cs="宋体" w:hint="eastAsia"/>
          <w:b/>
          <w:bCs/>
          <w:color w:val="4B4B4B"/>
          <w:sz w:val="24"/>
          <w:szCs w:val="24"/>
        </w:rPr>
        <w:t>六、安全稳定体系</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18.强化高校政治安全。认真落实意识形态工作责任制，加强高校思想文化阵地管理，严格实行审批制度。坚决抵御境外利用宗教渗透，防范校园传教活动。</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lastRenderedPageBreak/>
        <w:t xml:space="preserve">　　19.加强国家安全教育。持续推动国家安全教育进学校、进教材、进头脑，把集中教育活动与日常教育活动、课堂教育教学与社会实践相结合。建立健全国家安全教育长效机制，不断充实教育内容，完善教学体系。</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20.筑牢校园安全防线。切实保护学生生命安全、财产安全、身体健康，严格落实安全防范工作规范要求，强化安全基础建设，完善校园及周边治安综合治理机制。</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21.健全安全责任体系。落实高校安全管理主体责任，完善相应协调和会商机制，落实“一岗双责”。完善预警预防、综合研判、应急处置、督查报告、责任追究等工作制度。</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w:t>
      </w:r>
      <w:r w:rsidRPr="00F40B82">
        <w:rPr>
          <w:rFonts w:asciiTheme="minorEastAsia" w:eastAsiaTheme="minorEastAsia" w:hAnsiTheme="minorEastAsia" w:cs="宋体" w:hint="eastAsia"/>
          <w:b/>
          <w:bCs/>
          <w:color w:val="4B4B4B"/>
          <w:sz w:val="24"/>
          <w:szCs w:val="24"/>
        </w:rPr>
        <w:t>七、队伍建设体系</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22.建设高水平教师队伍。按照“四有”好老师要求，落实政治理论学习、培训轮训、实践锻炼等制度。完善教师评聘考核办法，把师德师风作为评价教师队伍素质第一标准。实施课程思政教师专题培训计划。充分发挥院士、国家“万人计划”哲学社会科学领军人才、文化名家暨“四个一批人才”、“长江学者”、“杰青”、国家级教学名师等示范带头作用。构建全校齐抓教师思想政治素质的工作体系，组织开展宣传师德典型、深化学术诚信教育，加强对海外归国和青年教师的思想引导。落实《新时代高校教师职业行为十项准则》，严格实行师德“一票否决制”，加大对失德教师的惩戒力度，推动师德建设常态化长效化。</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23.打造高素质思想政治工作和党务工作队伍。严格落实中央关于高校思想政治工作和党务工作队伍配备的各项指标性要求。完善高校专职辅导员职业发展体系，建立职级、职称“双线”晋升办法，学校应当结合实际情况为专职辅导员专设一定比例的正高级专业技术岗位。参照校内管理岗位比例，依据国家</w:t>
      </w:r>
      <w:r w:rsidRPr="00F40B82">
        <w:rPr>
          <w:rFonts w:asciiTheme="minorEastAsia" w:eastAsiaTheme="minorEastAsia" w:hAnsiTheme="minorEastAsia" w:cs="宋体" w:hint="eastAsia"/>
          <w:color w:val="4B4B4B"/>
          <w:sz w:val="24"/>
          <w:szCs w:val="24"/>
        </w:rPr>
        <w:lastRenderedPageBreak/>
        <w:t>有关规定，建立完善高校专职辅导员管理岗位（职员等级）晋升制度。对长期从事辅导员工作、表现优秀的，按照国家有关规定给予奖励。各高校要切实履行辅导员选聘工作的主体责任，按照专兼结合、以专为主的原则加强辅导员选配工作。各地有关部门要积极支持并督导各高校严格落实专职辅导员人事管理政策，按规定签订聘用合同，不得用劳务派遣、人事代理等方式聘用辅导员。鼓励选聘各级党政机关、科研院所、军队、企事业单位党员领导干部、专家学者等担任校外辅导员。完善兼职辅导员和校外辅导员培训、管理、考核制度。持续提升思想政治工作和党务工作队伍素质能力和专业水平，实施思想政治工作中青年骨干队伍建设项目，组织开展国家示范培训、海内外访学研修、在职攻读硕士博士学位等专项计划。各地要因地制宜设置思政课教师和辅导员岗位津贴，纳入绩效工资管理，相应核增学校绩效工资总量。各高校应按照在校生总数每生每年不低于20元的标准设立思想政治工作和党务工作队伍建设专项经费。</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24.加大马克思主义学者和青年马克思主义者培养力度。加强马克思主义学院和马克思主义理论学科建设，加快培养一批立场坚定、功底扎实、经验丰富的马克思主义学者，特别是培养一大批青年马克思主义者。深入实施“高校思想政治理论课教师队伍后备人才培养专项支持计划”。组织实施青年马克思主义者培养工程，加强集中教育培训和后续跟踪培养。</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w:t>
      </w:r>
      <w:r w:rsidRPr="00F40B82">
        <w:rPr>
          <w:rFonts w:asciiTheme="minorEastAsia" w:eastAsiaTheme="minorEastAsia" w:hAnsiTheme="minorEastAsia" w:cs="宋体" w:hint="eastAsia"/>
          <w:b/>
          <w:bCs/>
          <w:color w:val="4B4B4B"/>
          <w:sz w:val="24"/>
          <w:szCs w:val="24"/>
        </w:rPr>
        <w:t>八、评估督导体系</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25.构建科学测评体系。建立多元多层、科学有效的高校思政工作测评指标体系，完善过程评价和结果评价相结合的实施机制，推动把高校党建和思想政治工作作为“双一流”建设成效评估、学科专业质量评价、人才项目评审、教学科研成果评比的重要指标，并纳入政治巡视、地方和高校领导班子考核、领导干部述职评议的重要内容。</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lastRenderedPageBreak/>
        <w:t xml:space="preserve">　　26.完善推进落实机制。明确责任分工，细化实施方案，及时研究解决重点问题。将高校思想政治工作纳入整体发展规划和年度工作计划，明确路线图、时间表、责任人。</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27.健全督导问责机制。强化高校思想政治工作督导考核，对履职尽责不力、不及时的，加大追责力度。实行校、院系、基层党组织书记抓党建和思想政治工作述职评议考核制度，纳入党纪监督检查范围。</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w:t>
      </w:r>
      <w:r w:rsidRPr="00F40B82">
        <w:rPr>
          <w:rFonts w:asciiTheme="minorEastAsia" w:eastAsiaTheme="minorEastAsia" w:hAnsiTheme="minorEastAsia" w:cs="宋体" w:hint="eastAsia"/>
          <w:b/>
          <w:bCs/>
          <w:color w:val="4B4B4B"/>
          <w:sz w:val="24"/>
          <w:szCs w:val="24"/>
        </w:rPr>
        <w:t>九、组织领导和实施保障</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28.加强党的全面领导。要把高校思想政治工作摆到重要位置，切实加强组织领导和工作指导。各高校党委要全面统筹各领域、各环节、各方面的资源和力量，力戒形式主义、官僚主义，加强体制机制、项目布局、队伍建设、条件保障等方面的系统设计，定期分析高校思想政治领域情况，研究解决重大问题，协调推进重点任务落实，党委主要负责同志落实领导责任，分管领导落实直接责任。党委书记是思想政治工作第一责任人，校长和其他班子成员履行“党政同责、一岗双责”。高校领导班子成员要主动进课堂、进班级、进宿舍、进食堂、进社团、进讲座、进网络，深入一线联系学生。</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29.加强基层党的建设。强化院系党组织政治功能，加强班子建设、健全集体领导机制、提高议事决策水平。发挥党支部战斗堡垒和党员先锋模范作用，优化支部设置，实施教师党支部书记“双带头人”培育工程，建强党支部书记队伍。严格党的组织生活各项制度，着重加强教师党支部和学生党支部建设、发展党员和党员教育管理工作。加强教师党支部与学生党支部共建，鼓励校企、校地党支部共同开展组织生活。落实党建带团建制度，做好推优入党工作。</w:t>
      </w:r>
    </w:p>
    <w:p w:rsidR="00876496" w:rsidRPr="00F40B82" w:rsidRDefault="00876496" w:rsidP="00F40B82">
      <w:pPr>
        <w:shd w:val="clear" w:color="auto" w:fill="FFFFFF"/>
        <w:adjustRightInd/>
        <w:snapToGrid/>
        <w:spacing w:before="100" w:beforeAutospacing="1" w:after="100" w:afterAutospacing="1" w:line="360" w:lineRule="auto"/>
        <w:jc w:val="both"/>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 xml:space="preserve">　　30.强化工作协同保障。推动形成学校、家庭和社会教育协同育人机制。发挥高校思想政治工作委员会的专家咨询作用，加大高校思想政治工作创新发展</w:t>
      </w:r>
      <w:r w:rsidRPr="00F40B82">
        <w:rPr>
          <w:rFonts w:asciiTheme="minorEastAsia" w:eastAsiaTheme="minorEastAsia" w:hAnsiTheme="minorEastAsia" w:cs="宋体" w:hint="eastAsia"/>
          <w:color w:val="4B4B4B"/>
          <w:sz w:val="24"/>
          <w:szCs w:val="24"/>
        </w:rPr>
        <w:lastRenderedPageBreak/>
        <w:t>中心、思想政治工作队伍培训研修中心、省级高校网络思想政治工作中心建设力度。做好高校思想政治工作专项资金使用管理，引导地方和高校增加投入，强化经费投入的育人导向。</w:t>
      </w:r>
    </w:p>
    <w:p w:rsidR="00876496" w:rsidRPr="00F40B82" w:rsidRDefault="00876496" w:rsidP="00F40B82">
      <w:pPr>
        <w:shd w:val="clear" w:color="auto" w:fill="FFFFFF"/>
        <w:adjustRightInd/>
        <w:snapToGrid/>
        <w:spacing w:before="100" w:beforeAutospacing="1" w:after="100" w:afterAutospacing="1" w:line="360" w:lineRule="auto"/>
        <w:jc w:val="right"/>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教育部 中共中央组织部 中共中央宣传部</w:t>
      </w:r>
    </w:p>
    <w:p w:rsidR="00876496" w:rsidRPr="00F40B82" w:rsidRDefault="00876496" w:rsidP="00F40B82">
      <w:pPr>
        <w:shd w:val="clear" w:color="auto" w:fill="FFFFFF"/>
        <w:adjustRightInd/>
        <w:snapToGrid/>
        <w:spacing w:before="100" w:beforeAutospacing="1" w:after="100" w:afterAutospacing="1" w:line="360" w:lineRule="auto"/>
        <w:jc w:val="right"/>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中共中央政法委员会 中央网络安全和信息化委员会办公室</w:t>
      </w:r>
    </w:p>
    <w:p w:rsidR="00876496" w:rsidRPr="00F40B82" w:rsidRDefault="00876496" w:rsidP="00F40B82">
      <w:pPr>
        <w:shd w:val="clear" w:color="auto" w:fill="FFFFFF"/>
        <w:adjustRightInd/>
        <w:snapToGrid/>
        <w:spacing w:before="100" w:beforeAutospacing="1" w:after="100" w:afterAutospacing="1" w:line="360" w:lineRule="auto"/>
        <w:jc w:val="right"/>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财政部 人力资源社会保障部 共青团中央</w:t>
      </w:r>
    </w:p>
    <w:p w:rsidR="00876496" w:rsidRPr="00F40B82" w:rsidRDefault="00876496" w:rsidP="00F40B82">
      <w:pPr>
        <w:shd w:val="clear" w:color="auto" w:fill="FFFFFF"/>
        <w:adjustRightInd/>
        <w:snapToGrid/>
        <w:spacing w:before="100" w:beforeAutospacing="1" w:after="100" w:afterAutospacing="1" w:line="360" w:lineRule="auto"/>
        <w:jc w:val="right"/>
        <w:rPr>
          <w:rFonts w:asciiTheme="minorEastAsia" w:eastAsiaTheme="minorEastAsia" w:hAnsiTheme="minorEastAsia" w:cs="宋体"/>
          <w:color w:val="4B4B4B"/>
          <w:sz w:val="24"/>
          <w:szCs w:val="24"/>
        </w:rPr>
      </w:pPr>
      <w:r w:rsidRPr="00F40B82">
        <w:rPr>
          <w:rFonts w:asciiTheme="minorEastAsia" w:eastAsiaTheme="minorEastAsia" w:hAnsiTheme="minorEastAsia" w:cs="宋体" w:hint="eastAsia"/>
          <w:color w:val="4B4B4B"/>
          <w:sz w:val="24"/>
          <w:szCs w:val="24"/>
        </w:rPr>
        <w:t>2020年4月22日</w:t>
      </w:r>
    </w:p>
    <w:p w:rsidR="004358AB" w:rsidRPr="00F40B82" w:rsidRDefault="004358AB" w:rsidP="00F40B82">
      <w:pPr>
        <w:spacing w:line="360" w:lineRule="auto"/>
        <w:rPr>
          <w:rFonts w:asciiTheme="minorEastAsia" w:eastAsiaTheme="minorEastAsia" w:hAnsiTheme="minorEastAsia"/>
        </w:rPr>
      </w:pPr>
    </w:p>
    <w:sectPr w:rsidR="004358AB" w:rsidRPr="00F40B82"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微软雅黑">
    <w:altName w:val="方正粗黑宋简体"/>
    <w:charset w:val="86"/>
    <w:family w:val="swiss"/>
    <w:pitch w:val="variable"/>
    <w:sig w:usb0="00000000"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043D33"/>
    <w:rsid w:val="002D7F0A"/>
    <w:rsid w:val="00323B43"/>
    <w:rsid w:val="003D37D8"/>
    <w:rsid w:val="00426133"/>
    <w:rsid w:val="004358AB"/>
    <w:rsid w:val="00876496"/>
    <w:rsid w:val="008B7726"/>
    <w:rsid w:val="00B45600"/>
    <w:rsid w:val="00D31D50"/>
    <w:rsid w:val="00E81414"/>
    <w:rsid w:val="00F40B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6687940">
      <w:bodyDiv w:val="1"/>
      <w:marLeft w:val="0"/>
      <w:marRight w:val="0"/>
      <w:marTop w:val="0"/>
      <w:marBottom w:val="0"/>
      <w:divBdr>
        <w:top w:val="none" w:sz="0" w:space="0" w:color="auto"/>
        <w:left w:val="none" w:sz="0" w:space="0" w:color="auto"/>
        <w:bottom w:val="none" w:sz="0" w:space="0" w:color="auto"/>
        <w:right w:val="none" w:sz="0" w:space="0" w:color="auto"/>
      </w:divBdr>
      <w:divsChild>
        <w:div w:id="1779762144">
          <w:marLeft w:val="0"/>
          <w:marRight w:val="0"/>
          <w:marTop w:val="0"/>
          <w:marBottom w:val="0"/>
          <w:divBdr>
            <w:top w:val="none" w:sz="0" w:space="0" w:color="auto"/>
            <w:left w:val="none" w:sz="0" w:space="0" w:color="auto"/>
            <w:bottom w:val="none" w:sz="0" w:space="0" w:color="auto"/>
            <w:right w:val="none" w:sz="0" w:space="0" w:color="auto"/>
          </w:divBdr>
          <w:divsChild>
            <w:div w:id="161050751">
              <w:marLeft w:val="0"/>
              <w:marRight w:val="0"/>
              <w:marTop w:val="0"/>
              <w:marBottom w:val="0"/>
              <w:divBdr>
                <w:top w:val="none" w:sz="0" w:space="0" w:color="auto"/>
                <w:left w:val="none" w:sz="0" w:space="0" w:color="auto"/>
                <w:bottom w:val="none" w:sz="0" w:space="0" w:color="auto"/>
                <w:right w:val="none" w:sz="0" w:space="0" w:color="auto"/>
              </w:divBdr>
              <w:divsChild>
                <w:div w:id="2135713546">
                  <w:marLeft w:val="0"/>
                  <w:marRight w:val="0"/>
                  <w:marTop w:val="0"/>
                  <w:marBottom w:val="0"/>
                  <w:divBdr>
                    <w:top w:val="single" w:sz="6" w:space="31" w:color="BCBCBC"/>
                    <w:left w:val="single" w:sz="6" w:space="31" w:color="BCBCBC"/>
                    <w:bottom w:val="single" w:sz="6" w:space="15" w:color="BCBCBC"/>
                    <w:right w:val="single" w:sz="6" w:space="31" w:color="BCBCBC"/>
                  </w:divBdr>
                  <w:divsChild>
                    <w:div w:id="725179148">
                      <w:marLeft w:val="0"/>
                      <w:marRight w:val="0"/>
                      <w:marTop w:val="0"/>
                      <w:marBottom w:val="0"/>
                      <w:divBdr>
                        <w:top w:val="none" w:sz="0" w:space="0" w:color="auto"/>
                        <w:left w:val="none" w:sz="0" w:space="0" w:color="auto"/>
                        <w:bottom w:val="none" w:sz="0" w:space="0" w:color="auto"/>
                        <w:right w:val="none" w:sz="0" w:space="0" w:color="auto"/>
                      </w:divBdr>
                      <w:divsChild>
                        <w:div w:id="1333799976">
                          <w:marLeft w:val="0"/>
                          <w:marRight w:val="0"/>
                          <w:marTop w:val="0"/>
                          <w:marBottom w:val="0"/>
                          <w:divBdr>
                            <w:top w:val="none" w:sz="0" w:space="0" w:color="auto"/>
                            <w:left w:val="none" w:sz="0" w:space="0" w:color="auto"/>
                            <w:bottom w:val="none" w:sz="0" w:space="0" w:color="auto"/>
                            <w:right w:val="none" w:sz="0" w:space="0" w:color="auto"/>
                          </w:divBdr>
                        </w:div>
                        <w:div w:id="13776482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dcterms:created xsi:type="dcterms:W3CDTF">2008-09-11T17:20:00Z</dcterms:created>
  <dcterms:modified xsi:type="dcterms:W3CDTF">2020-07-02T07:45:00Z</dcterms:modified>
</cp:coreProperties>
</file>