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5C8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textAlignment w:val="auto"/>
        <w:rPr>
          <w:rFonts w:ascii="黑体" w:hAnsi="黑体" w:eastAsia="黑体" w:cs="黑体"/>
          <w:b/>
          <w:bCs/>
          <w:spacing w:val="14"/>
          <w:sz w:val="30"/>
          <w:szCs w:val="30"/>
        </w:rPr>
      </w:pPr>
      <w:r>
        <w:rPr>
          <w:rFonts w:ascii="黑体" w:hAnsi="黑体" w:eastAsia="黑体" w:cs="黑体"/>
          <w:b/>
          <w:bCs/>
          <w:spacing w:val="14"/>
          <w:sz w:val="30"/>
          <w:szCs w:val="30"/>
        </w:rPr>
        <w:t>附件2</w:t>
      </w:r>
    </w:p>
    <w:p w14:paraId="6A43D1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textAlignment w:val="auto"/>
        <w:rPr>
          <w:rFonts w:ascii="黑体" w:hAnsi="黑体" w:eastAsia="黑体" w:cs="黑体"/>
          <w:b/>
          <w:bCs/>
          <w:spacing w:val="14"/>
          <w:sz w:val="30"/>
          <w:szCs w:val="30"/>
        </w:rPr>
      </w:pPr>
    </w:p>
    <w:p w14:paraId="725618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jc w:val="center"/>
        <w:textAlignment w:val="auto"/>
        <w:rPr>
          <w:rFonts w:ascii="宋体" w:hAnsi="宋体" w:eastAsia="宋体" w:cs="宋体"/>
          <w:b/>
          <w:bCs/>
          <w:spacing w:val="-15"/>
          <w:sz w:val="40"/>
          <w:szCs w:val="40"/>
        </w:rPr>
      </w:pPr>
      <w:bookmarkStart w:id="0" w:name="_GoBack"/>
      <w:r>
        <w:rPr>
          <w:rFonts w:ascii="宋体" w:hAnsi="宋体" w:eastAsia="宋体" w:cs="宋体"/>
          <w:b/>
          <w:bCs/>
          <w:spacing w:val="-15"/>
          <w:sz w:val="40"/>
          <w:szCs w:val="40"/>
        </w:rPr>
        <w:t>第</w:t>
      </w:r>
      <w:r>
        <w:rPr>
          <w:rFonts w:hint="eastAsia" w:ascii="宋体" w:hAnsi="宋体" w:cs="宋体"/>
          <w:b/>
          <w:bCs/>
          <w:spacing w:val="-15"/>
          <w:sz w:val="40"/>
          <w:szCs w:val="40"/>
          <w:lang w:val="en-US" w:eastAsia="zh-CN"/>
        </w:rPr>
        <w:t>三</w:t>
      </w:r>
      <w:r>
        <w:rPr>
          <w:rFonts w:ascii="宋体" w:hAnsi="宋体" w:eastAsia="宋体" w:cs="宋体"/>
          <w:b/>
          <w:bCs/>
          <w:spacing w:val="-15"/>
          <w:sz w:val="40"/>
          <w:szCs w:val="40"/>
        </w:rPr>
        <w:t>届全国大学生职业规划大赛就业赛道方案</w:t>
      </w:r>
    </w:p>
    <w:bookmarkEnd w:id="0"/>
    <w:p w14:paraId="6D2549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743" w:firstLineChars="200"/>
        <w:jc w:val="both"/>
        <w:textAlignment w:val="auto"/>
        <w:rPr>
          <w:rFonts w:ascii="宋体" w:hAnsi="宋体" w:eastAsia="宋体" w:cs="宋体"/>
          <w:b/>
          <w:bCs/>
          <w:spacing w:val="-15"/>
          <w:sz w:val="40"/>
          <w:szCs w:val="40"/>
        </w:rPr>
      </w:pPr>
    </w:p>
    <w:p w14:paraId="51B57E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538" w:firstLineChars="200"/>
        <w:textAlignment w:val="auto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6"/>
          <w:sz w:val="30"/>
          <w:szCs w:val="30"/>
        </w:rPr>
        <w:t>一、比赛内容</w:t>
      </w:r>
    </w:p>
    <w:p w14:paraId="310F6A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0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考察学生求职实战能力，个人综合素质、专业能力与目标职业的契合度，个人发展路径与就业市场需求的适应度。参赛学生可获得岗位录用意向。</w:t>
      </w:r>
    </w:p>
    <w:p w14:paraId="544E87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526" w:firstLineChars="200"/>
        <w:textAlignment w:val="auto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9"/>
          <w:sz w:val="30"/>
          <w:szCs w:val="30"/>
        </w:rPr>
        <w:t>二、参赛组别和对象</w:t>
      </w:r>
    </w:p>
    <w:p w14:paraId="30B6916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00" w:firstLineChars="200"/>
        <w:jc w:val="both"/>
        <w:textAlignment w:val="auto"/>
        <w:rPr>
          <w:rFonts w:hint="default" w:ascii="黑体" w:hAnsi="黑体" w:eastAsia="黑体" w:cs="黑体"/>
          <w:sz w:val="30"/>
          <w:szCs w:val="30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就业赛道设本科生组、研究生组。高教本科生组面向普通本科三、四年级(部分专业五年级)学生(不含已通过推免等确定升学的毕业年级学生),全体第二学士学位学生；研究生组面向全体研究生；研究生组由研究生处负责遴选，具体请联系褚俊雷老师。</w:t>
      </w:r>
    </w:p>
    <w:p w14:paraId="4FC113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530" w:firstLineChars="200"/>
        <w:textAlignment w:val="auto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8"/>
          <w:sz w:val="30"/>
          <w:szCs w:val="30"/>
        </w:rPr>
        <w:t>三、参赛材料要求</w:t>
      </w:r>
    </w:p>
    <w:p w14:paraId="610642D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选手在大赛平台提交以下参赛材料：</w:t>
      </w:r>
    </w:p>
    <w:p w14:paraId="3A86B4E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(一)求职简历(PDF格式)。</w:t>
      </w:r>
    </w:p>
    <w:p w14:paraId="63E9643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(二)求职综合展示(PPT格式，不超过50MB;可加入视频)。</w:t>
      </w:r>
    </w:p>
    <w:p w14:paraId="017D56E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00" w:firstLineChars="200"/>
        <w:jc w:val="both"/>
        <w:textAlignment w:val="auto"/>
        <w:rPr>
          <w:rFonts w:ascii="宋体" w:hAnsi="宋体" w:eastAsia="宋体" w:cs="宋体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(三)辅助证明材料，包括实践、实习、获奖等证明材料(PDF格式，整合为单个文件，不超过50MB)。</w:t>
      </w:r>
    </w:p>
    <w:p w14:paraId="504899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506" w:firstLineChars="200"/>
        <w:textAlignment w:val="auto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24"/>
          <w:sz w:val="30"/>
          <w:szCs w:val="30"/>
        </w:rPr>
        <w:t>四、比赛环节</w:t>
      </w:r>
    </w:p>
    <w:p w14:paraId="774AF07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576" w:firstLineChars="200"/>
        <w:textAlignment w:val="auto"/>
        <w:rPr>
          <w:sz w:val="30"/>
          <w:szCs w:val="30"/>
        </w:rPr>
      </w:pPr>
      <w:r>
        <w:rPr>
          <w:spacing w:val="-6"/>
          <w:sz w:val="30"/>
          <w:szCs w:val="30"/>
        </w:rPr>
        <w:t>就业赛道设主题陈述、综合面试</w:t>
      </w:r>
      <w:r>
        <w:rPr>
          <w:spacing w:val="-12"/>
          <w:sz w:val="30"/>
          <w:szCs w:val="30"/>
        </w:rPr>
        <w:t>环节。各环节时长根据实际情况适当调整。</w:t>
      </w:r>
    </w:p>
    <w:p w14:paraId="7845950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28" w:firstLineChars="200"/>
        <w:textAlignment w:val="auto"/>
        <w:rPr>
          <w:sz w:val="30"/>
          <w:szCs w:val="30"/>
        </w:rPr>
      </w:pPr>
      <w:r>
        <w:rPr>
          <w:spacing w:val="7"/>
          <w:sz w:val="30"/>
          <w:szCs w:val="30"/>
        </w:rPr>
        <w:t>(一)主题陈述(6分钟):选手结合求职综合展示</w:t>
      </w:r>
      <w:r>
        <w:rPr>
          <w:rFonts w:ascii="Times New Roman" w:hAnsi="Times New Roman" w:eastAsia="Times New Roman" w:cs="Times New Roman"/>
          <w:sz w:val="30"/>
          <w:szCs w:val="30"/>
        </w:rPr>
        <w:t>PPT</w:t>
      </w:r>
      <w:r>
        <w:rPr>
          <w:rFonts w:hint="eastAsia" w:ascii="Times New Roman" w:hAnsi="Times New Roman" w:eastAsia="宋体" w:cs="Times New Roman"/>
          <w:sz w:val="30"/>
          <w:szCs w:val="30"/>
          <w:lang w:eastAsia="zh-CN"/>
        </w:rPr>
        <w:t>，</w:t>
      </w:r>
      <w:r>
        <w:rPr>
          <w:spacing w:val="-15"/>
          <w:sz w:val="30"/>
          <w:szCs w:val="30"/>
        </w:rPr>
        <w:t>陈述个人求职意向和职业准备情况。</w:t>
      </w:r>
    </w:p>
    <w:p w14:paraId="3ED5DAA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28" w:firstLineChars="200"/>
        <w:textAlignment w:val="auto"/>
        <w:rPr>
          <w:spacing w:val="7"/>
          <w:sz w:val="30"/>
          <w:szCs w:val="30"/>
        </w:rPr>
      </w:pPr>
      <w:r>
        <w:rPr>
          <w:spacing w:val="7"/>
          <w:sz w:val="30"/>
          <w:szCs w:val="30"/>
        </w:rPr>
        <w:t>(二)综合面试(6分钟):评委提出真实工作场景中可能遇到的问题，选手提出解决方案；评委结合选手陈述自由提问。</w:t>
      </w:r>
    </w:p>
    <w:p w14:paraId="571351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590" w:firstLineChars="200"/>
        <w:textAlignment w:val="auto"/>
        <w:outlineLvl w:val="0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</w:rPr>
        <w:t>五、评审标准</w:t>
      </w:r>
    </w:p>
    <w:tbl>
      <w:tblPr>
        <w:tblStyle w:val="6"/>
        <w:tblW w:w="85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3"/>
        <w:gridCol w:w="6322"/>
        <w:gridCol w:w="814"/>
      </w:tblGrid>
      <w:tr w14:paraId="70BAF0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463" w:type="dxa"/>
            <w:vAlign w:val="center"/>
          </w:tcPr>
          <w:p w14:paraId="6CBE2962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  <w:t>指标</w:t>
            </w:r>
          </w:p>
        </w:tc>
        <w:tc>
          <w:tcPr>
            <w:tcW w:w="6322" w:type="dxa"/>
            <w:vAlign w:val="center"/>
          </w:tcPr>
          <w:p w14:paraId="1595860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  <w:t>说明</w:t>
            </w:r>
          </w:p>
        </w:tc>
        <w:tc>
          <w:tcPr>
            <w:tcW w:w="814" w:type="dxa"/>
            <w:vAlign w:val="center"/>
          </w:tcPr>
          <w:p w14:paraId="04C01EE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  <w:t>分值</w:t>
            </w:r>
          </w:p>
        </w:tc>
      </w:tr>
      <w:tr w14:paraId="6B54E4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1463" w:type="dxa"/>
            <w:vMerge w:val="restart"/>
            <w:tcBorders>
              <w:bottom w:val="nil"/>
            </w:tcBorders>
            <w:vAlign w:val="center"/>
          </w:tcPr>
          <w:p w14:paraId="709C4FCC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  <w:t>职业目标</w:t>
            </w:r>
          </w:p>
        </w:tc>
        <w:tc>
          <w:tcPr>
            <w:tcW w:w="6322" w:type="dxa"/>
            <w:vAlign w:val="center"/>
          </w:tcPr>
          <w:p w14:paraId="79C1A12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left"/>
              <w:textAlignment w:val="auto"/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  <w:t>能够结合就业市场需求和个人所学专业、能力及兴趣等特点，合理设定职业目标</w:t>
            </w:r>
          </w:p>
        </w:tc>
        <w:tc>
          <w:tcPr>
            <w:tcW w:w="814" w:type="dxa"/>
            <w:vAlign w:val="center"/>
          </w:tcPr>
          <w:p w14:paraId="028A4E4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  <w:t>5</w:t>
            </w:r>
          </w:p>
        </w:tc>
      </w:tr>
      <w:tr w14:paraId="3162E5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463" w:type="dxa"/>
            <w:vMerge w:val="continue"/>
            <w:tcBorders>
              <w:top w:val="nil"/>
            </w:tcBorders>
            <w:vAlign w:val="center"/>
          </w:tcPr>
          <w:p w14:paraId="0C2044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right="0" w:firstLine="628" w:firstLineChars="200"/>
              <w:jc w:val="center"/>
              <w:textAlignment w:val="auto"/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6322" w:type="dxa"/>
            <w:vAlign w:val="center"/>
          </w:tcPr>
          <w:p w14:paraId="0A9B9E5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left"/>
              <w:textAlignment w:val="auto"/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  <w:t>深入调研并准确把握目标职业的任职要求、工作内容、基本流程和发展路径等</w:t>
            </w:r>
          </w:p>
        </w:tc>
        <w:tc>
          <w:tcPr>
            <w:tcW w:w="814" w:type="dxa"/>
            <w:vAlign w:val="center"/>
          </w:tcPr>
          <w:p w14:paraId="3B9E47B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  <w:t>5</w:t>
            </w:r>
          </w:p>
        </w:tc>
      </w:tr>
      <w:tr w14:paraId="05F99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1463" w:type="dxa"/>
            <w:vMerge w:val="restart"/>
            <w:tcBorders>
              <w:bottom w:val="nil"/>
            </w:tcBorders>
            <w:vAlign w:val="center"/>
          </w:tcPr>
          <w:p w14:paraId="78DD714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  <w:t>岗位胜任力</w:t>
            </w:r>
          </w:p>
        </w:tc>
        <w:tc>
          <w:tcPr>
            <w:tcW w:w="6322" w:type="dxa"/>
            <w:vAlign w:val="center"/>
          </w:tcPr>
          <w:p w14:paraId="193811DC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left"/>
              <w:textAlignment w:val="auto"/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  <w:t>具备目标岗位所需综合素质，如思维认知、沟通协作能力和执行力等，具有敬业奉献的职业精神</w:t>
            </w:r>
          </w:p>
        </w:tc>
        <w:tc>
          <w:tcPr>
            <w:tcW w:w="814" w:type="dxa"/>
            <w:vAlign w:val="center"/>
          </w:tcPr>
          <w:p w14:paraId="24B96D82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  <w:t>40</w:t>
            </w:r>
          </w:p>
        </w:tc>
      </w:tr>
      <w:tr w14:paraId="16926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463" w:type="dxa"/>
            <w:vMerge w:val="continue"/>
            <w:tcBorders>
              <w:top w:val="nil"/>
            </w:tcBorders>
            <w:vAlign w:val="center"/>
          </w:tcPr>
          <w:p w14:paraId="59B8B4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right="0" w:firstLine="628" w:firstLineChars="200"/>
              <w:jc w:val="center"/>
              <w:textAlignment w:val="auto"/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6322" w:type="dxa"/>
            <w:vAlign w:val="center"/>
          </w:tcPr>
          <w:p w14:paraId="0D2213ED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left"/>
              <w:textAlignment w:val="auto"/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  <w:t>具备目标岗位所需的专业知识和技能要求，相关实习实践经历丰富，具备解决实际问题的专业能力</w:t>
            </w:r>
          </w:p>
        </w:tc>
        <w:tc>
          <w:tcPr>
            <w:tcW w:w="814" w:type="dxa"/>
            <w:vAlign w:val="center"/>
          </w:tcPr>
          <w:p w14:paraId="3045C78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  <w:t>40</w:t>
            </w:r>
          </w:p>
        </w:tc>
      </w:tr>
      <w:tr w14:paraId="66E46D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</w:trPr>
        <w:tc>
          <w:tcPr>
            <w:tcW w:w="1463" w:type="dxa"/>
            <w:vAlign w:val="center"/>
          </w:tcPr>
          <w:p w14:paraId="621A90CC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  <w:t>发展潜力</w:t>
            </w:r>
          </w:p>
        </w:tc>
        <w:tc>
          <w:tcPr>
            <w:tcW w:w="6322" w:type="dxa"/>
            <w:vAlign w:val="center"/>
          </w:tcPr>
          <w:p w14:paraId="42C6BD0C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left"/>
              <w:textAlignment w:val="auto"/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  <w:t>具备持续学习能力、创新精神和应对不确定性挑战的潜质，适应未来职业发展要求和就业市场需要</w:t>
            </w:r>
          </w:p>
        </w:tc>
        <w:tc>
          <w:tcPr>
            <w:tcW w:w="814" w:type="dxa"/>
            <w:vAlign w:val="center"/>
          </w:tcPr>
          <w:p w14:paraId="705E64D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</w:pPr>
            <w:r>
              <w:rPr>
                <w:rFonts w:ascii="仿宋" w:hAnsi="仿宋" w:eastAsia="仿宋" w:cs="仿宋"/>
                <w:spacing w:val="7"/>
                <w:kern w:val="2"/>
                <w:sz w:val="30"/>
                <w:szCs w:val="30"/>
                <w:lang w:val="en-US" w:eastAsia="en-US" w:bidi="ar-SA"/>
              </w:rPr>
              <w:t>10</w:t>
            </w:r>
          </w:p>
        </w:tc>
      </w:tr>
    </w:tbl>
    <w:p w14:paraId="20AF3C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textAlignment w:val="auto"/>
        <w:outlineLvl w:val="0"/>
        <w:rPr>
          <w:rFonts w:ascii="黑体" w:hAnsi="黑体" w:eastAsia="黑体" w:cs="黑体"/>
          <w:b/>
          <w:bCs/>
          <w:spacing w:val="-21"/>
          <w:sz w:val="30"/>
          <w:szCs w:val="30"/>
        </w:rPr>
      </w:pPr>
    </w:p>
    <w:p w14:paraId="2C98BF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518" w:firstLineChars="200"/>
        <w:textAlignment w:val="auto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21"/>
          <w:sz w:val="30"/>
          <w:szCs w:val="30"/>
        </w:rPr>
        <w:t>六、奖项设置</w:t>
      </w:r>
    </w:p>
    <w:p w14:paraId="2C3D977A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0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就业赛道设置金奖、银奖、铜奖，以及优秀指导教师奖等奖项。</w:t>
      </w:r>
    </w:p>
    <w:p w14:paraId="3384AEB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</w:p>
    <w:p w14:paraId="519058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A6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3"/>
      <w:szCs w:val="33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2025-10-28T02:54:58Z</dcterms:created>
  <dc:creator>ASUS</dc:creator>
  <cp:lastModifiedBy>我爱大脸茜</cp:lastModifiedBy>
  <dcterms:modified xsi:type="dcterms:W3CDTF">2025-10-28T02:55:33Z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eyJoZGlkIjoiMjdhZWVlNmQ4NmM1MjljOGY5ZjZhZDQ2ZDU1OTZlYTIiLCJ1c2VySWQiOiIyNjkzMjE4NDMifQ==</vt:lpwstr>
  </property>
  <property fmtid="{D5CDD505-2E9C-101B-9397-08002B2CF9AE}" pid="4" name="ICV">
    <vt:lpwstr>B6744983C06D4F48AB780A5EE34E10A4_12</vt:lpwstr>
  </property>
</Properties>
</file>