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3DFF2">
      <w:pPr>
        <w:ind w:firstLine="643"/>
        <w:jc w:val="center"/>
        <w:rPr>
          <w:rFonts w:hint="eastAsia" w:ascii="黑体" w:hAnsi="黑体" w:eastAsia="黑体"/>
          <w:b/>
          <w:bCs/>
          <w:sz w:val="32"/>
          <w:szCs w:val="32"/>
        </w:rPr>
      </w:pPr>
      <w:r>
        <w:rPr>
          <w:rFonts w:hint="eastAsia" w:ascii="黑体" w:hAnsi="黑体" w:eastAsia="黑体"/>
          <w:b/>
          <w:bCs/>
          <w:sz w:val="32"/>
          <w:szCs w:val="32"/>
        </w:rPr>
        <w:t>生物食品与环境学院</w:t>
      </w:r>
    </w:p>
    <w:p w14:paraId="63C80EAD">
      <w:pPr>
        <w:ind w:firstLine="643"/>
        <w:jc w:val="center"/>
        <w:rPr>
          <w:rFonts w:hint="eastAsia" w:ascii="黑体" w:hAnsi="黑体" w:eastAsia="黑体"/>
          <w:b/>
          <w:bCs/>
          <w:sz w:val="32"/>
          <w:szCs w:val="32"/>
        </w:rPr>
      </w:pPr>
      <w:r>
        <w:rPr>
          <w:rFonts w:hint="eastAsia" w:ascii="黑体" w:hAnsi="黑体" w:eastAsia="黑体"/>
          <w:b/>
          <w:bCs/>
          <w:sz w:val="32"/>
          <w:szCs w:val="32"/>
        </w:rPr>
        <w:t>关于2024级学生调整专业考核方案</w:t>
      </w:r>
    </w:p>
    <w:p w14:paraId="0CE7DDE4">
      <w:pPr>
        <w:ind w:firstLine="562"/>
        <w:jc w:val="center"/>
        <w:rPr>
          <w:sz w:val="28"/>
          <w:szCs w:val="28"/>
        </w:rPr>
      </w:pPr>
    </w:p>
    <w:p w14:paraId="2C6BE257">
      <w:pPr>
        <w:pStyle w:val="11"/>
        <w:numPr>
          <w:ilvl w:val="0"/>
          <w:numId w:val="1"/>
        </w:numPr>
        <w:ind w:firstLineChars="0"/>
        <w:rPr>
          <w:b/>
          <w:sz w:val="28"/>
          <w:szCs w:val="28"/>
        </w:rPr>
      </w:pPr>
      <w:r>
        <w:rPr>
          <w:b/>
          <w:sz w:val="28"/>
          <w:szCs w:val="28"/>
        </w:rPr>
        <w:t>转专业工作小组</w:t>
      </w:r>
    </w:p>
    <w:p w14:paraId="6E6D2E98">
      <w:pPr>
        <w:pStyle w:val="11"/>
        <w:spacing w:line="360" w:lineRule="auto"/>
        <w:ind w:left="720" w:firstLine="0" w:firstLineChars="0"/>
        <w:rPr>
          <w:sz w:val="24"/>
        </w:rPr>
      </w:pPr>
      <w:r>
        <w:rPr>
          <w:rFonts w:hint="eastAsia"/>
          <w:sz w:val="24"/>
        </w:rPr>
        <w:t>学院学生调整专业具体由</w:t>
      </w:r>
      <w:r>
        <w:rPr>
          <w:sz w:val="24"/>
        </w:rPr>
        <w:t>转专业工作小组</w:t>
      </w:r>
      <w:r>
        <w:rPr>
          <w:rFonts w:hint="eastAsia"/>
          <w:sz w:val="24"/>
        </w:rPr>
        <w:t>负责，办公室设置在院教学办。</w:t>
      </w:r>
    </w:p>
    <w:p w14:paraId="6FE98401">
      <w:pPr>
        <w:pStyle w:val="11"/>
        <w:spacing w:line="360" w:lineRule="auto"/>
        <w:ind w:left="720" w:firstLine="0" w:firstLineChars="0"/>
        <w:rPr>
          <w:sz w:val="24"/>
        </w:rPr>
      </w:pPr>
      <w:r>
        <w:rPr>
          <w:rFonts w:hint="eastAsia"/>
          <w:sz w:val="24"/>
        </w:rPr>
        <w:t>组长：阮班锋</w:t>
      </w:r>
    </w:p>
    <w:p w14:paraId="33BAC6B2">
      <w:pPr>
        <w:pStyle w:val="11"/>
        <w:spacing w:line="360" w:lineRule="auto"/>
        <w:ind w:left="720" w:firstLine="0" w:firstLineChars="0"/>
        <w:rPr>
          <w:color w:val="auto"/>
          <w:sz w:val="24"/>
        </w:rPr>
      </w:pPr>
      <w:r>
        <w:rPr>
          <w:rFonts w:hint="eastAsia"/>
          <w:sz w:val="24"/>
        </w:rPr>
        <w:t>副组长：陈俊，晋松</w:t>
      </w:r>
    </w:p>
    <w:p w14:paraId="24DE2AA2">
      <w:pPr>
        <w:pStyle w:val="11"/>
        <w:spacing w:line="360" w:lineRule="auto"/>
        <w:ind w:left="720" w:firstLine="0" w:firstLineChars="0"/>
        <w:rPr>
          <w:color w:val="auto"/>
          <w:sz w:val="24"/>
        </w:rPr>
      </w:pPr>
      <w:r>
        <w:rPr>
          <w:rFonts w:hint="eastAsia"/>
          <w:color w:val="auto"/>
          <w:sz w:val="24"/>
        </w:rPr>
        <w:t>成员：蔡悦、常飞、储著定、吴忧、张轶、顾泉、赵欢、陈刘赠</w:t>
      </w:r>
    </w:p>
    <w:p w14:paraId="2203AE20">
      <w:pPr>
        <w:pStyle w:val="11"/>
        <w:spacing w:line="360" w:lineRule="auto"/>
        <w:ind w:left="720" w:firstLine="0" w:firstLineChars="0"/>
        <w:rPr>
          <w:rFonts w:hint="eastAsia"/>
          <w:color w:val="auto"/>
          <w:sz w:val="24"/>
        </w:rPr>
      </w:pPr>
      <w:r>
        <w:rPr>
          <w:rFonts w:hint="eastAsia"/>
          <w:color w:val="auto"/>
          <w:sz w:val="24"/>
        </w:rPr>
        <w:t>秘书：孙倩倩</w:t>
      </w:r>
    </w:p>
    <w:p w14:paraId="42038986">
      <w:pPr>
        <w:pStyle w:val="11"/>
        <w:spacing w:line="360" w:lineRule="auto"/>
        <w:ind w:left="720" w:firstLine="0" w:firstLineChars="0"/>
        <w:rPr>
          <w:rFonts w:hint="default" w:eastAsiaTheme="minorEastAsia"/>
          <w:color w:val="auto"/>
          <w:sz w:val="24"/>
          <w:lang w:val="en-US" w:eastAsia="zh-CN"/>
        </w:rPr>
      </w:pPr>
      <w:r>
        <w:rPr>
          <w:rFonts w:hint="eastAsia"/>
          <w:color w:val="auto"/>
          <w:sz w:val="24"/>
          <w:lang w:eastAsia="zh-CN"/>
        </w:rPr>
        <w:t>学院纪委监督电话：</w:t>
      </w:r>
      <w:r>
        <w:rPr>
          <w:rFonts w:hint="eastAsia"/>
          <w:color w:val="auto"/>
          <w:sz w:val="24"/>
          <w:lang w:val="en-US" w:eastAsia="zh-CN"/>
        </w:rPr>
        <w:t>62158524</w:t>
      </w:r>
    </w:p>
    <w:p w14:paraId="36381B8B">
      <w:pPr>
        <w:ind w:firstLine="560"/>
        <w:rPr>
          <w:b/>
          <w:color w:val="auto"/>
          <w:sz w:val="28"/>
          <w:szCs w:val="28"/>
        </w:rPr>
      </w:pPr>
      <w:r>
        <w:rPr>
          <w:rFonts w:hint="eastAsia"/>
          <w:b/>
          <w:color w:val="auto"/>
          <w:sz w:val="28"/>
          <w:szCs w:val="28"/>
        </w:rPr>
        <w:t>二、各专业可接受学生人数</w:t>
      </w:r>
    </w:p>
    <w:tbl>
      <w:tblPr>
        <w:tblStyle w:val="5"/>
        <w:tblW w:w="8217" w:type="dxa"/>
        <w:jc w:val="center"/>
        <w:tblLayout w:type="autofit"/>
        <w:tblCellMar>
          <w:top w:w="0" w:type="dxa"/>
          <w:left w:w="108" w:type="dxa"/>
          <w:bottom w:w="0" w:type="dxa"/>
          <w:right w:w="108" w:type="dxa"/>
        </w:tblCellMar>
      </w:tblPr>
      <w:tblGrid>
        <w:gridCol w:w="1413"/>
        <w:gridCol w:w="2268"/>
        <w:gridCol w:w="2693"/>
        <w:gridCol w:w="1843"/>
      </w:tblGrid>
      <w:tr w14:paraId="6A8297E7">
        <w:tblPrEx>
          <w:tblCellMar>
            <w:top w:w="0" w:type="dxa"/>
            <w:left w:w="108" w:type="dxa"/>
            <w:bottom w:w="0" w:type="dxa"/>
            <w:right w:w="108" w:type="dxa"/>
          </w:tblCellMar>
        </w:tblPrEx>
        <w:trPr>
          <w:trHeight w:val="750" w:hRule="atLeast"/>
          <w:jc w:val="center"/>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6150">
            <w:pPr>
              <w:widowControl/>
              <w:jc w:val="left"/>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学院名称</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0E49">
            <w:pPr>
              <w:widowControl/>
              <w:ind w:firstLine="442"/>
              <w:jc w:val="left"/>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专业名称</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56F01">
            <w:pPr>
              <w:widowControl/>
              <w:ind w:firstLine="442"/>
              <w:jc w:val="center"/>
              <w:textAlignment w:val="center"/>
              <w:rPr>
                <w:rFonts w:hint="eastAsia" w:ascii="宋体" w:hAnsi="宋体" w:eastAsia="宋体" w:cs="宋体"/>
                <w:b/>
                <w:bCs/>
                <w:color w:val="auto"/>
                <w:kern w:val="0"/>
                <w:sz w:val="22"/>
                <w:szCs w:val="22"/>
              </w:rPr>
            </w:pPr>
            <w:r>
              <w:rPr>
                <w:rFonts w:hint="eastAsia" w:ascii="宋体" w:hAnsi="宋体" w:eastAsia="宋体" w:cs="宋体"/>
                <w:b/>
                <w:bCs/>
                <w:color w:val="auto"/>
                <w:kern w:val="0"/>
                <w:sz w:val="22"/>
                <w:szCs w:val="22"/>
              </w:rPr>
              <w:t>本专业尚可接收的</w:t>
            </w:r>
          </w:p>
          <w:p w14:paraId="4B77C04A">
            <w:pPr>
              <w:widowControl/>
              <w:ind w:firstLine="442"/>
              <w:jc w:val="center"/>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学生人数</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B272">
            <w:pPr>
              <w:widowControl/>
              <w:ind w:firstLine="442"/>
              <w:jc w:val="center"/>
              <w:textAlignment w:val="center"/>
              <w:rPr>
                <w:rFonts w:hint="eastAsia" w:ascii="宋体" w:hAnsi="宋体" w:eastAsia="宋体" w:cs="宋体"/>
                <w:b/>
                <w:bCs/>
                <w:color w:val="auto"/>
                <w:sz w:val="22"/>
                <w:szCs w:val="22"/>
              </w:rPr>
            </w:pPr>
            <w:r>
              <w:rPr>
                <w:rFonts w:hint="eastAsia" w:ascii="宋体" w:hAnsi="宋体" w:eastAsia="宋体" w:cs="宋体"/>
                <w:b/>
                <w:bCs/>
                <w:color w:val="auto"/>
                <w:kern w:val="0"/>
                <w:sz w:val="22"/>
                <w:szCs w:val="22"/>
              </w:rPr>
              <w:t>考核形式</w:t>
            </w:r>
          </w:p>
        </w:tc>
      </w:tr>
      <w:tr w14:paraId="74CCDDDD">
        <w:tblPrEx>
          <w:tblCellMar>
            <w:top w:w="0" w:type="dxa"/>
            <w:left w:w="108" w:type="dxa"/>
            <w:bottom w:w="0" w:type="dxa"/>
            <w:right w:w="108" w:type="dxa"/>
          </w:tblCellMar>
        </w:tblPrEx>
        <w:trPr>
          <w:trHeight w:val="498" w:hRule="atLeast"/>
          <w:jc w:val="center"/>
        </w:trPr>
        <w:tc>
          <w:tcPr>
            <w:tcW w:w="1413" w:type="dxa"/>
            <w:vMerge w:val="restart"/>
            <w:tcBorders>
              <w:top w:val="single" w:color="000000" w:sz="4" w:space="0"/>
              <w:left w:val="single" w:color="000000" w:sz="4" w:space="0"/>
              <w:right w:val="single" w:color="000000" w:sz="4" w:space="0"/>
            </w:tcBorders>
            <w:shd w:val="clear" w:color="auto" w:fill="auto"/>
            <w:vAlign w:val="center"/>
          </w:tcPr>
          <w:p w14:paraId="2F0A669D">
            <w:pPr>
              <w:widowControl/>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生物食品与环境学院</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6BE1">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生物工程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A5E39">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6F20">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293B517B">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right w:val="single" w:color="000000" w:sz="4" w:space="0"/>
            </w:tcBorders>
            <w:shd w:val="clear" w:color="auto" w:fill="auto"/>
            <w:vAlign w:val="center"/>
          </w:tcPr>
          <w:p w14:paraId="72684CCF">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A633">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环境工程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B5E4">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AA9F">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736E4E2F">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right w:val="single" w:color="000000" w:sz="4" w:space="0"/>
            </w:tcBorders>
            <w:shd w:val="clear" w:color="auto" w:fill="auto"/>
            <w:vAlign w:val="center"/>
          </w:tcPr>
          <w:p w14:paraId="63B1AC9B">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96BE">
            <w:pPr>
              <w:widowControl/>
              <w:ind w:firstLine="442"/>
              <w:jc w:val="left"/>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食品科学与工程</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C819">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2F16">
            <w:pPr>
              <w:widowControl/>
              <w:ind w:firstLine="442"/>
              <w:jc w:val="center"/>
              <w:textAlignment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笔试+面试</w:t>
            </w:r>
          </w:p>
        </w:tc>
      </w:tr>
      <w:tr w14:paraId="3996175C">
        <w:tblPrEx>
          <w:tblCellMar>
            <w:top w:w="0" w:type="dxa"/>
            <w:left w:w="108" w:type="dxa"/>
            <w:bottom w:w="0" w:type="dxa"/>
            <w:right w:w="108" w:type="dxa"/>
          </w:tblCellMar>
        </w:tblPrEx>
        <w:trPr>
          <w:trHeight w:val="498" w:hRule="atLeast"/>
          <w:jc w:val="center"/>
        </w:trPr>
        <w:tc>
          <w:tcPr>
            <w:tcW w:w="1413" w:type="dxa"/>
            <w:vMerge w:val="continue"/>
            <w:tcBorders>
              <w:left w:val="single" w:color="000000" w:sz="4" w:space="0"/>
              <w:bottom w:val="single" w:color="000000" w:sz="4" w:space="0"/>
              <w:right w:val="single" w:color="000000" w:sz="4" w:space="0"/>
            </w:tcBorders>
            <w:shd w:val="clear" w:color="auto" w:fill="auto"/>
            <w:vAlign w:val="center"/>
          </w:tcPr>
          <w:p w14:paraId="08C8E3CC">
            <w:pPr>
              <w:ind w:firstLine="442"/>
              <w:jc w:val="center"/>
              <w:rPr>
                <w:rFonts w:hint="eastAsia" w:ascii="宋体" w:hAnsi="宋体" w:eastAsia="宋体" w:cs="宋体"/>
                <w:color w:val="auto"/>
                <w:sz w:val="22"/>
                <w:szCs w:val="22"/>
              </w:rPr>
            </w:pP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BB64">
            <w:pPr>
              <w:widowControl/>
              <w:ind w:firstLine="442"/>
              <w:jc w:val="left"/>
              <w:textAlignment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生物制药</w:t>
            </w:r>
          </w:p>
        </w:tc>
        <w:tc>
          <w:tcPr>
            <w:tcW w:w="2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9A3B">
            <w:pPr>
              <w:ind w:firstLine="442"/>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10</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BE66">
            <w:pPr>
              <w:widowControl/>
              <w:ind w:firstLine="442"/>
              <w:jc w:val="center"/>
              <w:textAlignment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笔试+面试</w:t>
            </w:r>
          </w:p>
        </w:tc>
      </w:tr>
    </w:tbl>
    <w:p w14:paraId="69BA5031">
      <w:pPr>
        <w:rPr>
          <w:color w:val="auto"/>
        </w:rPr>
      </w:pPr>
    </w:p>
    <w:p w14:paraId="6E0C660A">
      <w:pPr>
        <w:rPr>
          <w:color w:val="auto"/>
        </w:rPr>
      </w:pPr>
    </w:p>
    <w:p w14:paraId="2BA35007">
      <w:pPr>
        <w:ind w:firstLine="560"/>
        <w:rPr>
          <w:b/>
          <w:color w:val="auto"/>
          <w:sz w:val="28"/>
          <w:szCs w:val="28"/>
        </w:rPr>
      </w:pPr>
      <w:r>
        <w:rPr>
          <w:rFonts w:hint="eastAsia"/>
          <w:b/>
          <w:color w:val="auto"/>
          <w:sz w:val="28"/>
          <w:szCs w:val="28"/>
        </w:rPr>
        <w:t>三、考核方式和时间地点</w:t>
      </w:r>
    </w:p>
    <w:p w14:paraId="5ECBDB7D">
      <w:pPr>
        <w:spacing w:line="360" w:lineRule="auto"/>
        <w:ind w:firstLine="482" w:firstLineChars="200"/>
        <w:rPr>
          <w:color w:val="auto"/>
          <w:sz w:val="24"/>
        </w:rPr>
      </w:pPr>
      <w:r>
        <w:rPr>
          <w:rFonts w:hint="eastAsia"/>
          <w:b/>
          <w:bCs/>
          <w:color w:val="auto"/>
          <w:sz w:val="24"/>
        </w:rPr>
        <w:t>本次考核方式为：</w:t>
      </w:r>
      <w:r>
        <w:rPr>
          <w:rFonts w:hint="eastAsia"/>
          <w:color w:val="auto"/>
          <w:sz w:val="24"/>
        </w:rPr>
        <w:t>先进行笔试，再进行面试</w:t>
      </w:r>
    </w:p>
    <w:p w14:paraId="6190F403">
      <w:pPr>
        <w:spacing w:line="360" w:lineRule="auto"/>
        <w:ind w:firstLine="1680" w:firstLineChars="700"/>
        <w:rPr>
          <w:color w:val="auto"/>
          <w:sz w:val="24"/>
        </w:rPr>
      </w:pPr>
      <w:r>
        <w:rPr>
          <w:rFonts w:hint="eastAsia"/>
          <w:color w:val="auto"/>
          <w:sz w:val="24"/>
        </w:rPr>
        <w:t>若具备转专业资格人数不超过专业接收人数的，只安排面试。</w:t>
      </w:r>
    </w:p>
    <w:p w14:paraId="02A495A7">
      <w:pPr>
        <w:spacing w:line="360" w:lineRule="auto"/>
        <w:ind w:firstLine="482" w:firstLineChars="200"/>
        <w:rPr>
          <w:color w:val="auto"/>
          <w:sz w:val="24"/>
        </w:rPr>
      </w:pPr>
      <w:r>
        <w:rPr>
          <w:rFonts w:hint="eastAsia"/>
          <w:b/>
          <w:bCs/>
          <w:color w:val="auto"/>
          <w:sz w:val="24"/>
        </w:rPr>
        <w:t>考核时间：</w:t>
      </w:r>
      <w:r>
        <w:rPr>
          <w:rFonts w:hint="eastAsia"/>
          <w:color w:val="auto"/>
          <w:sz w:val="24"/>
        </w:rPr>
        <w:t>根据工作安排确定后直接通知学生</w:t>
      </w:r>
    </w:p>
    <w:p w14:paraId="7F0DCABB">
      <w:pPr>
        <w:spacing w:line="360" w:lineRule="auto"/>
        <w:ind w:firstLine="482" w:firstLineChars="200"/>
        <w:rPr>
          <w:color w:val="auto"/>
          <w:sz w:val="24"/>
        </w:rPr>
      </w:pPr>
      <w:r>
        <w:rPr>
          <w:rFonts w:hint="eastAsia"/>
          <w:b/>
          <w:bCs/>
          <w:color w:val="auto"/>
          <w:sz w:val="24"/>
        </w:rPr>
        <w:t>考核地点：</w:t>
      </w:r>
      <w:r>
        <w:rPr>
          <w:rFonts w:hint="eastAsia"/>
          <w:color w:val="auto"/>
          <w:sz w:val="24"/>
        </w:rPr>
        <w:t>生物食品与环境学院三楼院会议室313</w:t>
      </w:r>
    </w:p>
    <w:p w14:paraId="4F276870">
      <w:pPr>
        <w:rPr>
          <w:color w:val="auto"/>
        </w:rPr>
      </w:pPr>
    </w:p>
    <w:p w14:paraId="35DE6EE0">
      <w:pPr>
        <w:ind w:firstLine="562"/>
        <w:rPr>
          <w:b/>
          <w:color w:val="auto"/>
          <w:sz w:val="28"/>
          <w:szCs w:val="28"/>
        </w:rPr>
      </w:pPr>
      <w:r>
        <w:rPr>
          <w:rFonts w:hint="eastAsia"/>
          <w:b/>
          <w:color w:val="auto"/>
          <w:sz w:val="28"/>
          <w:szCs w:val="28"/>
        </w:rPr>
        <w:t>四、考核具体要求</w:t>
      </w:r>
    </w:p>
    <w:p w14:paraId="346EAF36">
      <w:pPr>
        <w:spacing w:line="360" w:lineRule="auto"/>
        <w:ind w:firstLine="480" w:firstLineChars="200"/>
        <w:rPr>
          <w:color w:val="auto"/>
          <w:sz w:val="24"/>
        </w:rPr>
      </w:pPr>
      <w:r>
        <w:rPr>
          <w:rFonts w:hint="eastAsia"/>
          <w:color w:val="auto"/>
          <w:sz w:val="24"/>
        </w:rPr>
        <w:t>本次考核遵循根据《安徽省教育厅关于做好新生入学资格复查和学籍学历管理工作的通知》、《合肥大学本科生学籍管理办法》、《合肥大学全日制本科生转专业实施办法（修订）》等文件相关规定要求。全程在院纪委监督下开展工作。</w:t>
      </w:r>
    </w:p>
    <w:p w14:paraId="7C436C8A">
      <w:pPr>
        <w:spacing w:line="360" w:lineRule="auto"/>
        <w:ind w:firstLine="482" w:firstLineChars="200"/>
        <w:rPr>
          <w:b/>
          <w:bCs/>
          <w:color w:val="auto"/>
          <w:sz w:val="24"/>
        </w:rPr>
      </w:pPr>
      <w:r>
        <w:rPr>
          <w:rFonts w:hint="eastAsia"/>
          <w:b/>
          <w:bCs/>
          <w:color w:val="auto"/>
          <w:sz w:val="24"/>
        </w:rPr>
        <w:t>笔试部分：</w:t>
      </w:r>
    </w:p>
    <w:p w14:paraId="01B6E160">
      <w:pPr>
        <w:spacing w:line="360" w:lineRule="auto"/>
        <w:ind w:firstLine="480" w:firstLineChars="200"/>
        <w:rPr>
          <w:rFonts w:hint="eastAsia" w:eastAsiaTheme="minorEastAsia"/>
          <w:color w:val="auto"/>
          <w:sz w:val="24"/>
          <w:lang w:eastAsia="zh-CN"/>
        </w:rPr>
      </w:pPr>
      <w:r>
        <w:rPr>
          <w:rFonts w:hint="eastAsia"/>
          <w:color w:val="auto"/>
          <w:sz w:val="24"/>
        </w:rPr>
        <w:t>笔试由专业设置试卷，为5题论述题，论述题的主要考核内容为思想政治、外语能力、转入专业了解程度、综合素质等。笔试采用百分制评分方式，获60分及以上方可进入面试环节。笔试不合格者不予进入面试</w:t>
      </w:r>
      <w:r>
        <w:rPr>
          <w:rFonts w:hint="eastAsia"/>
          <w:color w:val="auto"/>
          <w:sz w:val="24"/>
          <w:lang w:eastAsia="zh-CN"/>
        </w:rPr>
        <w:t>。</w:t>
      </w:r>
    </w:p>
    <w:p w14:paraId="108D356B">
      <w:pPr>
        <w:spacing w:line="360" w:lineRule="auto"/>
        <w:ind w:firstLine="482" w:firstLineChars="200"/>
        <w:rPr>
          <w:b/>
          <w:bCs/>
          <w:color w:val="auto"/>
          <w:sz w:val="24"/>
        </w:rPr>
      </w:pPr>
      <w:r>
        <w:rPr>
          <w:rFonts w:hint="eastAsia"/>
          <w:b/>
          <w:bCs/>
          <w:color w:val="auto"/>
          <w:sz w:val="24"/>
        </w:rPr>
        <w:t>面试部分：</w:t>
      </w:r>
    </w:p>
    <w:p w14:paraId="305A8AD7">
      <w:pPr>
        <w:spacing w:line="360" w:lineRule="auto"/>
        <w:ind w:firstLine="480" w:firstLineChars="200"/>
        <w:rPr>
          <w:color w:val="auto"/>
          <w:sz w:val="24"/>
        </w:rPr>
      </w:pPr>
      <w:r>
        <w:rPr>
          <w:rFonts w:hint="eastAsia"/>
          <w:color w:val="auto"/>
          <w:sz w:val="24"/>
        </w:rPr>
        <w:t>面试过程</w:t>
      </w:r>
      <w:r>
        <w:rPr>
          <w:color w:val="auto"/>
          <w:sz w:val="24"/>
        </w:rPr>
        <w:t>至少3位专业教师组成面试</w:t>
      </w:r>
      <w:r>
        <w:rPr>
          <w:rFonts w:hint="eastAsia"/>
          <w:color w:val="auto"/>
          <w:sz w:val="24"/>
        </w:rPr>
        <w:t>专家</w:t>
      </w:r>
      <w:r>
        <w:rPr>
          <w:color w:val="auto"/>
          <w:sz w:val="24"/>
        </w:rPr>
        <w:t>小组</w:t>
      </w:r>
      <w:r>
        <w:rPr>
          <w:rFonts w:hint="eastAsia"/>
          <w:color w:val="auto"/>
          <w:sz w:val="24"/>
        </w:rPr>
        <w:t>。采用考核表百分制评分方式，考核内容为</w:t>
      </w:r>
      <w:r>
        <w:rPr>
          <w:color w:val="auto"/>
          <w:sz w:val="24"/>
        </w:rPr>
        <w:t>（1）</w:t>
      </w:r>
      <w:r>
        <w:rPr>
          <w:rFonts w:hint="eastAsia"/>
          <w:color w:val="auto"/>
          <w:sz w:val="24"/>
        </w:rPr>
        <w:t>政治</w:t>
      </w:r>
      <w:r>
        <w:rPr>
          <w:color w:val="auto"/>
          <w:sz w:val="24"/>
        </w:rPr>
        <w:t>思想品德；（2）沟通能力</w:t>
      </w:r>
      <w:r>
        <w:rPr>
          <w:rFonts w:hint="eastAsia"/>
          <w:color w:val="auto"/>
          <w:sz w:val="24"/>
        </w:rPr>
        <w:t>；</w:t>
      </w:r>
      <w:r>
        <w:rPr>
          <w:color w:val="auto"/>
          <w:sz w:val="24"/>
        </w:rPr>
        <w:t>（3）对</w:t>
      </w:r>
      <w:r>
        <w:rPr>
          <w:rFonts w:hint="eastAsia"/>
          <w:color w:val="auto"/>
          <w:sz w:val="24"/>
        </w:rPr>
        <w:t>转入</w:t>
      </w:r>
      <w:r>
        <w:rPr>
          <w:color w:val="auto"/>
          <w:sz w:val="24"/>
        </w:rPr>
        <w:t>专业了解</w:t>
      </w:r>
      <w:r>
        <w:rPr>
          <w:rFonts w:hint="eastAsia"/>
          <w:color w:val="auto"/>
          <w:sz w:val="24"/>
        </w:rPr>
        <w:t>程度。面试最终成绩为</w:t>
      </w:r>
      <w:r>
        <w:rPr>
          <w:color w:val="auto"/>
          <w:sz w:val="24"/>
        </w:rPr>
        <w:t>专业教师组成面试</w:t>
      </w:r>
      <w:r>
        <w:rPr>
          <w:rFonts w:hint="eastAsia"/>
          <w:color w:val="auto"/>
          <w:sz w:val="24"/>
        </w:rPr>
        <w:t>专家</w:t>
      </w:r>
      <w:r>
        <w:rPr>
          <w:color w:val="auto"/>
          <w:sz w:val="24"/>
        </w:rPr>
        <w:t>小组</w:t>
      </w:r>
      <w:r>
        <w:rPr>
          <w:rFonts w:hint="eastAsia"/>
          <w:color w:val="auto"/>
          <w:sz w:val="24"/>
        </w:rPr>
        <w:t>平均分。</w:t>
      </w:r>
    </w:p>
    <w:p w14:paraId="37EFAD1A">
      <w:pPr>
        <w:spacing w:line="360" w:lineRule="auto"/>
        <w:ind w:firstLine="482" w:firstLineChars="200"/>
        <w:rPr>
          <w:b/>
          <w:bCs/>
          <w:sz w:val="24"/>
        </w:rPr>
      </w:pPr>
      <w:r>
        <w:rPr>
          <w:rFonts w:hint="eastAsia"/>
          <w:b/>
          <w:bCs/>
          <w:sz w:val="24"/>
        </w:rPr>
        <w:t>转入成绩标准：</w:t>
      </w:r>
    </w:p>
    <w:p w14:paraId="31504737">
      <w:pPr>
        <w:spacing w:line="360" w:lineRule="auto"/>
        <w:ind w:firstLine="480" w:firstLineChars="200"/>
        <w:rPr>
          <w:sz w:val="24"/>
        </w:rPr>
      </w:pPr>
      <w:r>
        <w:rPr>
          <w:rFonts w:hint="eastAsia"/>
          <w:sz w:val="24"/>
        </w:rPr>
        <w:t>学生最终的得分为笔试（60%）+面试（40%），按照最终的得分先后排序进行转入。</w:t>
      </w:r>
    </w:p>
    <w:p w14:paraId="074DF400">
      <w:pPr>
        <w:spacing w:line="360" w:lineRule="auto"/>
        <w:ind w:firstLine="480" w:firstLineChars="200"/>
        <w:rPr>
          <w:sz w:val="24"/>
        </w:rPr>
      </w:pPr>
      <w:r>
        <w:rPr>
          <w:rFonts w:hint="eastAsia"/>
          <w:sz w:val="24"/>
        </w:rPr>
        <w:t>若具备转专业资格人数不超过专业接收人数的，只安排面试学生</w:t>
      </w:r>
      <w:r>
        <w:rPr>
          <w:rFonts w:hint="eastAsia"/>
          <w:sz w:val="24"/>
          <w:lang w:eastAsia="zh-CN"/>
        </w:rPr>
        <w:t>。</w:t>
      </w:r>
      <w:r>
        <w:rPr>
          <w:sz w:val="24"/>
        </w:rPr>
        <w:t>专业教师组成面试</w:t>
      </w:r>
      <w:r>
        <w:rPr>
          <w:rFonts w:hint="eastAsia"/>
          <w:sz w:val="24"/>
        </w:rPr>
        <w:t>专家</w:t>
      </w:r>
      <w:r>
        <w:rPr>
          <w:sz w:val="24"/>
        </w:rPr>
        <w:t>小组</w:t>
      </w:r>
      <w:r>
        <w:rPr>
          <w:rFonts w:hint="eastAsia"/>
          <w:sz w:val="24"/>
          <w:lang w:eastAsia="zh-CN"/>
        </w:rPr>
        <w:t>，</w:t>
      </w:r>
      <w:bookmarkStart w:id="0" w:name="_GoBack"/>
      <w:bookmarkEnd w:id="0"/>
      <w:r>
        <w:rPr>
          <w:rFonts w:hint="eastAsia"/>
          <w:sz w:val="24"/>
        </w:rPr>
        <w:t>平均分在60分及以上的学生</w:t>
      </w:r>
      <w:r>
        <w:rPr>
          <w:sz w:val="24"/>
        </w:rPr>
        <w:t>，</w:t>
      </w:r>
      <w:r>
        <w:rPr>
          <w:rFonts w:hint="eastAsia"/>
          <w:sz w:val="24"/>
        </w:rPr>
        <w:t>符合录取最低合格线，</w:t>
      </w:r>
      <w:r>
        <w:rPr>
          <w:sz w:val="24"/>
        </w:rPr>
        <w:t>建议接收转入</w:t>
      </w:r>
      <w:r>
        <w:rPr>
          <w:rFonts w:hint="eastAsia"/>
          <w:sz w:val="24"/>
        </w:rPr>
        <w:t>专业；</w:t>
      </w:r>
      <w:r>
        <w:rPr>
          <w:rFonts w:hint="eastAsia"/>
          <w:sz w:val="24"/>
          <w:lang w:eastAsia="zh-CN"/>
        </w:rPr>
        <w:t>平均分</w:t>
      </w:r>
      <w:r>
        <w:rPr>
          <w:rFonts w:hint="eastAsia"/>
          <w:sz w:val="24"/>
        </w:rPr>
        <w:t>低于60分的学生</w:t>
      </w:r>
      <w:r>
        <w:rPr>
          <w:sz w:val="24"/>
        </w:rPr>
        <w:t>，</w:t>
      </w:r>
      <w:r>
        <w:rPr>
          <w:rFonts w:hint="eastAsia"/>
          <w:sz w:val="24"/>
        </w:rPr>
        <w:t>不符合录取最低合格线，建议</w:t>
      </w:r>
      <w:r>
        <w:rPr>
          <w:sz w:val="24"/>
        </w:rPr>
        <w:t>不接受转入</w:t>
      </w:r>
      <w:r>
        <w:rPr>
          <w:rFonts w:hint="eastAsia"/>
          <w:sz w:val="24"/>
        </w:rPr>
        <w:t>专业</w:t>
      </w:r>
      <w:r>
        <w:rPr>
          <w:sz w:val="24"/>
        </w:rPr>
        <w:t>。</w:t>
      </w:r>
    </w:p>
    <w:p w14:paraId="54E16385">
      <w:pPr>
        <w:spacing w:line="360" w:lineRule="auto"/>
        <w:ind w:firstLine="480" w:firstLineChars="200"/>
        <w:rPr>
          <w:sz w:val="24"/>
        </w:rPr>
      </w:pPr>
    </w:p>
    <w:p w14:paraId="3A8880EA">
      <w:pPr>
        <w:spacing w:line="360" w:lineRule="auto"/>
        <w:ind w:firstLine="480" w:firstLineChars="200"/>
        <w:rPr>
          <w:sz w:val="24"/>
        </w:rPr>
      </w:pPr>
    </w:p>
    <w:p w14:paraId="54966377">
      <w:pPr>
        <w:spacing w:line="360" w:lineRule="auto"/>
        <w:ind w:firstLine="480" w:firstLineChars="200"/>
        <w:rPr>
          <w:sz w:val="24"/>
        </w:rPr>
      </w:pPr>
      <w:r>
        <w:rPr>
          <w:rFonts w:hint="eastAsia"/>
          <w:sz w:val="24"/>
        </w:rPr>
        <w:t xml:space="preserve">                                               生物食品与环境学院</w:t>
      </w:r>
    </w:p>
    <w:p w14:paraId="2872A04D">
      <w:pPr>
        <w:spacing w:line="360" w:lineRule="auto"/>
        <w:ind w:right="480" w:firstLine="480" w:firstLineChars="200"/>
        <w:jc w:val="right"/>
        <w:rPr>
          <w:sz w:val="24"/>
        </w:rPr>
      </w:pPr>
      <w:r>
        <w:rPr>
          <w:rFonts w:hint="eastAsia"/>
          <w:sz w:val="24"/>
        </w:rPr>
        <w:t>2024.12.27</w:t>
      </w:r>
    </w:p>
    <w:p w14:paraId="507C7C2B">
      <w:pPr>
        <w:spacing w:line="360" w:lineRule="auto"/>
        <w:ind w:right="480" w:firstLine="480" w:firstLineChars="200"/>
        <w:jc w:val="right"/>
        <w:rPr>
          <w:sz w:val="24"/>
        </w:rPr>
      </w:pPr>
    </w:p>
    <w:p w14:paraId="52B4616D">
      <w:pPr>
        <w:spacing w:line="360" w:lineRule="auto"/>
        <w:ind w:right="480" w:firstLine="480" w:firstLineChars="200"/>
        <w:jc w:val="right"/>
        <w:rPr>
          <w:sz w:val="24"/>
        </w:rPr>
      </w:pPr>
    </w:p>
    <w:p w14:paraId="6D0A6A56">
      <w:pPr>
        <w:spacing w:line="360" w:lineRule="auto"/>
        <w:ind w:right="480" w:firstLine="480" w:firstLineChars="200"/>
        <w:jc w:val="right"/>
        <w:rPr>
          <w:sz w:val="24"/>
        </w:rPr>
      </w:pPr>
    </w:p>
    <w:p w14:paraId="439E59FB">
      <w:pPr>
        <w:ind w:right="480" w:firstLine="602" w:firstLineChars="200"/>
        <w:jc w:val="center"/>
        <w:rPr>
          <w:rFonts w:hint="eastAsia" w:ascii="黑体" w:hAnsi="黑体" w:eastAsia="黑体"/>
          <w:b/>
          <w:sz w:val="30"/>
          <w:szCs w:val="30"/>
        </w:rPr>
      </w:pPr>
    </w:p>
    <w:p w14:paraId="28493A45">
      <w:pPr>
        <w:ind w:right="480" w:firstLine="602" w:firstLineChars="200"/>
        <w:jc w:val="center"/>
        <w:rPr>
          <w:rFonts w:hint="eastAsia" w:ascii="黑体" w:hAnsi="黑体" w:eastAsia="黑体"/>
          <w:b/>
          <w:sz w:val="30"/>
          <w:szCs w:val="30"/>
        </w:rPr>
      </w:pPr>
    </w:p>
    <w:p w14:paraId="597FE1CD">
      <w:pPr>
        <w:ind w:right="480" w:firstLine="602" w:firstLineChars="200"/>
        <w:jc w:val="center"/>
        <w:rPr>
          <w:rFonts w:hint="eastAsia" w:ascii="黑体" w:hAnsi="黑体" w:eastAsia="黑体"/>
          <w:b/>
          <w:sz w:val="30"/>
          <w:szCs w:val="30"/>
        </w:rPr>
      </w:pPr>
    </w:p>
    <w:p w14:paraId="7E098E25">
      <w:pPr>
        <w:ind w:right="480" w:firstLine="602" w:firstLineChars="200"/>
        <w:jc w:val="center"/>
        <w:rPr>
          <w:rFonts w:hint="eastAsia" w:ascii="黑体" w:hAnsi="黑体" w:eastAsia="黑体"/>
          <w:b/>
          <w:sz w:val="30"/>
          <w:szCs w:val="30"/>
        </w:rPr>
      </w:pPr>
    </w:p>
    <w:p w14:paraId="289534C6">
      <w:pPr>
        <w:ind w:right="480" w:firstLine="602" w:firstLineChars="200"/>
        <w:jc w:val="center"/>
        <w:rPr>
          <w:rFonts w:hint="eastAsia" w:ascii="黑体" w:hAnsi="黑体" w:eastAsia="黑体"/>
          <w:b/>
          <w:sz w:val="30"/>
          <w:szCs w:val="30"/>
        </w:rPr>
      </w:pPr>
    </w:p>
    <w:p w14:paraId="17BF74F1">
      <w:pPr>
        <w:ind w:right="480" w:firstLine="602" w:firstLineChars="200"/>
        <w:jc w:val="center"/>
        <w:rPr>
          <w:rFonts w:hint="eastAsia" w:ascii="黑体" w:hAnsi="黑体" w:eastAsia="黑体"/>
          <w:b/>
          <w:sz w:val="30"/>
          <w:szCs w:val="30"/>
        </w:rPr>
      </w:pPr>
    </w:p>
    <w:p w14:paraId="2D59687C">
      <w:pPr>
        <w:ind w:right="480" w:firstLine="602"/>
        <w:jc w:val="center"/>
        <w:rPr>
          <w:rFonts w:hint="eastAsia" w:ascii="黑体" w:hAnsi="黑体" w:eastAsia="黑体"/>
          <w:b/>
          <w:sz w:val="30"/>
          <w:szCs w:val="30"/>
        </w:rPr>
      </w:pPr>
      <w:r>
        <w:rPr>
          <w:rFonts w:ascii="黑体" w:hAnsi="黑体" w:eastAsia="黑体"/>
          <w:b/>
          <w:sz w:val="30"/>
          <w:szCs w:val="30"/>
        </w:rPr>
        <w:t>学生面试考核专家评分表</w:t>
      </w:r>
    </w:p>
    <w:p w14:paraId="406D2B96">
      <w:pPr>
        <w:ind w:right="480" w:firstLine="562"/>
        <w:jc w:val="center"/>
        <w:rPr>
          <w:rFonts w:hint="eastAsia" w:ascii="黑体" w:hAnsi="黑体" w:eastAsia="黑体"/>
          <w:b/>
          <w:sz w:val="28"/>
          <w:szCs w:val="28"/>
        </w:rPr>
      </w:pPr>
      <w:r>
        <w:rPr>
          <w:rFonts w:hint="eastAsia" w:ascii="黑体" w:hAnsi="黑体" w:eastAsia="黑体"/>
          <w:b/>
          <w:sz w:val="28"/>
          <w:szCs w:val="28"/>
        </w:rPr>
        <w:t>学生姓名：          原专业：         拟调整专业：</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888"/>
        <w:gridCol w:w="3785"/>
        <w:gridCol w:w="1374"/>
        <w:gridCol w:w="1475"/>
      </w:tblGrid>
      <w:tr w14:paraId="5C07D4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8" w:type="pct"/>
            <w:vAlign w:val="center"/>
          </w:tcPr>
          <w:p w14:paraId="372DE7B8">
            <w:pPr>
              <w:spacing w:line="360" w:lineRule="auto"/>
              <w:ind w:right="480"/>
              <w:jc w:val="center"/>
              <w:rPr>
                <w:b/>
                <w:sz w:val="24"/>
              </w:rPr>
            </w:pPr>
            <w:r>
              <w:rPr>
                <w:rFonts w:hint="eastAsia"/>
                <w:b/>
                <w:sz w:val="24"/>
              </w:rPr>
              <w:t>评价类别</w:t>
            </w:r>
          </w:p>
        </w:tc>
        <w:tc>
          <w:tcPr>
            <w:tcW w:w="2221" w:type="pct"/>
          </w:tcPr>
          <w:p w14:paraId="5A62A6A1">
            <w:pPr>
              <w:spacing w:line="360" w:lineRule="auto"/>
              <w:ind w:right="480"/>
              <w:jc w:val="center"/>
              <w:rPr>
                <w:b/>
                <w:sz w:val="24"/>
              </w:rPr>
            </w:pPr>
            <w:r>
              <w:rPr>
                <w:rFonts w:hint="eastAsia"/>
                <w:b/>
                <w:sz w:val="24"/>
              </w:rPr>
              <w:t>评价项目</w:t>
            </w:r>
          </w:p>
        </w:tc>
        <w:tc>
          <w:tcPr>
            <w:tcW w:w="806" w:type="pct"/>
            <w:vAlign w:val="center"/>
          </w:tcPr>
          <w:p w14:paraId="771F4998">
            <w:pPr>
              <w:spacing w:line="360" w:lineRule="auto"/>
              <w:ind w:right="480"/>
              <w:jc w:val="center"/>
              <w:rPr>
                <w:b/>
                <w:sz w:val="24"/>
              </w:rPr>
            </w:pPr>
            <w:r>
              <w:rPr>
                <w:rFonts w:hint="eastAsia"/>
                <w:b/>
                <w:sz w:val="24"/>
              </w:rPr>
              <w:t xml:space="preserve"> 分值</w:t>
            </w:r>
          </w:p>
        </w:tc>
        <w:tc>
          <w:tcPr>
            <w:tcW w:w="865" w:type="pct"/>
          </w:tcPr>
          <w:p w14:paraId="52FAB9EF">
            <w:pPr>
              <w:spacing w:line="360" w:lineRule="auto"/>
              <w:ind w:right="480"/>
              <w:jc w:val="center"/>
              <w:rPr>
                <w:b/>
                <w:sz w:val="24"/>
              </w:rPr>
            </w:pPr>
            <w:r>
              <w:rPr>
                <w:rFonts w:hint="eastAsia"/>
                <w:b/>
                <w:sz w:val="24"/>
              </w:rPr>
              <w:t>得分</w:t>
            </w:r>
          </w:p>
        </w:tc>
      </w:tr>
      <w:tr w14:paraId="5AA080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541" w:hRule="atLeast"/>
        </w:trPr>
        <w:tc>
          <w:tcPr>
            <w:tcW w:w="1108" w:type="pct"/>
          </w:tcPr>
          <w:p w14:paraId="338283A4">
            <w:pPr>
              <w:spacing w:line="360" w:lineRule="auto"/>
              <w:ind w:right="480" w:firstLine="480"/>
              <w:jc w:val="center"/>
              <w:rPr>
                <w:b/>
                <w:sz w:val="24"/>
              </w:rPr>
            </w:pPr>
          </w:p>
          <w:p w14:paraId="0D362404">
            <w:pPr>
              <w:spacing w:line="360" w:lineRule="auto"/>
              <w:ind w:right="480" w:firstLine="480"/>
              <w:jc w:val="center"/>
              <w:rPr>
                <w:b/>
                <w:sz w:val="24"/>
              </w:rPr>
            </w:pPr>
          </w:p>
          <w:p w14:paraId="71105A08">
            <w:pPr>
              <w:spacing w:line="360" w:lineRule="auto"/>
              <w:ind w:right="480"/>
              <w:jc w:val="center"/>
              <w:rPr>
                <w:b/>
                <w:sz w:val="24"/>
              </w:rPr>
            </w:pPr>
            <w:r>
              <w:rPr>
                <w:rFonts w:hint="eastAsia"/>
                <w:b/>
                <w:sz w:val="24"/>
              </w:rPr>
              <w:t xml:space="preserve"> 政治</w:t>
            </w:r>
            <w:r>
              <w:rPr>
                <w:b/>
                <w:sz w:val="24"/>
              </w:rPr>
              <w:t>思想品德</w:t>
            </w:r>
          </w:p>
          <w:p w14:paraId="33FBFD56">
            <w:pPr>
              <w:spacing w:line="360" w:lineRule="auto"/>
              <w:ind w:right="480" w:firstLine="480"/>
              <w:jc w:val="center"/>
              <w:rPr>
                <w:b/>
                <w:sz w:val="24"/>
              </w:rPr>
            </w:pPr>
          </w:p>
        </w:tc>
        <w:tc>
          <w:tcPr>
            <w:tcW w:w="2221" w:type="pct"/>
          </w:tcPr>
          <w:p w14:paraId="1EABA1E4">
            <w:pPr>
              <w:spacing w:line="360" w:lineRule="auto"/>
              <w:ind w:right="480"/>
              <w:rPr>
                <w:b/>
                <w:sz w:val="24"/>
              </w:rPr>
            </w:pPr>
            <w:r>
              <w:rPr>
                <w:b/>
                <w:sz w:val="24"/>
              </w:rPr>
              <w:t>拥护中国</w:t>
            </w:r>
            <w:r>
              <w:rPr>
                <w:rFonts w:hint="eastAsia"/>
                <w:b/>
                <w:sz w:val="24"/>
              </w:rPr>
              <w:t>共产党</w:t>
            </w:r>
            <w:r>
              <w:rPr>
                <w:b/>
                <w:sz w:val="24"/>
              </w:rPr>
              <w:t>的领导、拥护</w:t>
            </w:r>
            <w:r>
              <w:rPr>
                <w:rFonts w:hint="eastAsia"/>
                <w:b/>
                <w:sz w:val="24"/>
              </w:rPr>
              <w:t>党的</w:t>
            </w:r>
            <w:r>
              <w:rPr>
                <w:b/>
                <w:sz w:val="24"/>
              </w:rPr>
              <w:t>各项方针政策,遵守国家的法律法规及各项规章制度</w:t>
            </w:r>
            <w:r>
              <w:rPr>
                <w:rFonts w:hint="eastAsia"/>
                <w:b/>
                <w:sz w:val="24"/>
              </w:rPr>
              <w:t>。</w:t>
            </w:r>
            <w:r>
              <w:rPr>
                <w:b/>
                <w:sz w:val="24"/>
              </w:rPr>
              <w:t>树立了正确的</w:t>
            </w:r>
            <w:r>
              <w:rPr>
                <w:rFonts w:hint="eastAsia"/>
                <w:b/>
                <w:sz w:val="24"/>
              </w:rPr>
              <w:t>世界观、人生观</w:t>
            </w:r>
            <w:r>
              <w:rPr>
                <w:b/>
                <w:sz w:val="24"/>
              </w:rPr>
              <w:t>和价值观</w:t>
            </w:r>
            <w:r>
              <w:rPr>
                <w:rFonts w:hint="eastAsia"/>
                <w:b/>
                <w:sz w:val="24"/>
              </w:rPr>
              <w:t>。</w:t>
            </w:r>
          </w:p>
        </w:tc>
        <w:tc>
          <w:tcPr>
            <w:tcW w:w="806" w:type="pct"/>
          </w:tcPr>
          <w:p w14:paraId="5B918E93">
            <w:pPr>
              <w:spacing w:line="360" w:lineRule="auto"/>
              <w:ind w:right="480" w:firstLine="480"/>
              <w:jc w:val="center"/>
              <w:rPr>
                <w:b/>
                <w:sz w:val="24"/>
              </w:rPr>
            </w:pPr>
          </w:p>
          <w:p w14:paraId="70AB1E2D">
            <w:pPr>
              <w:spacing w:line="360" w:lineRule="auto"/>
              <w:ind w:right="480" w:firstLine="480"/>
              <w:jc w:val="center"/>
              <w:rPr>
                <w:b/>
                <w:sz w:val="24"/>
              </w:rPr>
            </w:pPr>
          </w:p>
          <w:p w14:paraId="6532A0D6">
            <w:pPr>
              <w:spacing w:line="360" w:lineRule="auto"/>
              <w:ind w:right="480"/>
              <w:jc w:val="center"/>
              <w:rPr>
                <w:b/>
                <w:sz w:val="24"/>
              </w:rPr>
            </w:pPr>
            <w:r>
              <w:rPr>
                <w:rFonts w:hint="eastAsia"/>
                <w:b/>
                <w:sz w:val="24"/>
              </w:rPr>
              <w:t>30</w:t>
            </w:r>
          </w:p>
        </w:tc>
        <w:tc>
          <w:tcPr>
            <w:tcW w:w="865" w:type="pct"/>
          </w:tcPr>
          <w:p w14:paraId="00BC2930">
            <w:pPr>
              <w:spacing w:line="360" w:lineRule="auto"/>
              <w:ind w:right="480" w:firstLine="480"/>
              <w:jc w:val="center"/>
              <w:rPr>
                <w:b/>
                <w:sz w:val="24"/>
              </w:rPr>
            </w:pPr>
          </w:p>
        </w:tc>
      </w:tr>
      <w:tr w14:paraId="7FF43F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8" w:type="pct"/>
          </w:tcPr>
          <w:p w14:paraId="5A5BF3D1">
            <w:pPr>
              <w:spacing w:line="360" w:lineRule="auto"/>
              <w:ind w:right="480" w:firstLine="480"/>
              <w:jc w:val="center"/>
              <w:rPr>
                <w:b/>
                <w:sz w:val="24"/>
              </w:rPr>
            </w:pPr>
          </w:p>
          <w:p w14:paraId="11F2C57D">
            <w:pPr>
              <w:spacing w:line="360" w:lineRule="auto"/>
              <w:ind w:right="480"/>
              <w:jc w:val="center"/>
              <w:rPr>
                <w:b/>
                <w:sz w:val="24"/>
              </w:rPr>
            </w:pPr>
            <w:r>
              <w:rPr>
                <w:rFonts w:hint="eastAsia"/>
                <w:b/>
                <w:sz w:val="24"/>
              </w:rPr>
              <w:t>沟通能力</w:t>
            </w:r>
          </w:p>
          <w:p w14:paraId="3C02FBA7">
            <w:pPr>
              <w:spacing w:line="360" w:lineRule="auto"/>
              <w:ind w:right="480" w:firstLine="480"/>
              <w:rPr>
                <w:b/>
                <w:sz w:val="24"/>
              </w:rPr>
            </w:pPr>
          </w:p>
        </w:tc>
        <w:tc>
          <w:tcPr>
            <w:tcW w:w="2221" w:type="pct"/>
          </w:tcPr>
          <w:p w14:paraId="5CBF6DD4">
            <w:pPr>
              <w:spacing w:line="360" w:lineRule="auto"/>
              <w:ind w:right="480"/>
              <w:rPr>
                <w:b/>
                <w:sz w:val="24"/>
              </w:rPr>
            </w:pPr>
            <w:r>
              <w:rPr>
                <w:rFonts w:hint="eastAsia"/>
                <w:b/>
                <w:sz w:val="24"/>
              </w:rPr>
              <w:t>积极乐观，心态良好，心理健康。独立思考，表达清晰，与人沟通良好。</w:t>
            </w:r>
          </w:p>
        </w:tc>
        <w:tc>
          <w:tcPr>
            <w:tcW w:w="806" w:type="pct"/>
          </w:tcPr>
          <w:p w14:paraId="0BCC14F1">
            <w:pPr>
              <w:spacing w:line="360" w:lineRule="auto"/>
              <w:ind w:right="480" w:firstLine="480"/>
              <w:jc w:val="center"/>
              <w:rPr>
                <w:b/>
                <w:sz w:val="24"/>
              </w:rPr>
            </w:pPr>
          </w:p>
          <w:p w14:paraId="597D0205">
            <w:pPr>
              <w:spacing w:line="360" w:lineRule="auto"/>
              <w:ind w:right="480"/>
              <w:jc w:val="center"/>
              <w:rPr>
                <w:b/>
                <w:sz w:val="24"/>
              </w:rPr>
            </w:pPr>
            <w:r>
              <w:rPr>
                <w:rFonts w:hint="eastAsia"/>
                <w:b/>
                <w:sz w:val="24"/>
              </w:rPr>
              <w:t>30</w:t>
            </w:r>
          </w:p>
        </w:tc>
        <w:tc>
          <w:tcPr>
            <w:tcW w:w="865" w:type="pct"/>
          </w:tcPr>
          <w:p w14:paraId="7A93640E">
            <w:pPr>
              <w:spacing w:line="360" w:lineRule="auto"/>
              <w:ind w:right="480" w:firstLine="480"/>
              <w:jc w:val="center"/>
              <w:rPr>
                <w:b/>
                <w:sz w:val="24"/>
              </w:rPr>
            </w:pPr>
          </w:p>
        </w:tc>
      </w:tr>
      <w:tr w14:paraId="442E90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3" w:hRule="atLeast"/>
        </w:trPr>
        <w:tc>
          <w:tcPr>
            <w:tcW w:w="1108" w:type="pct"/>
          </w:tcPr>
          <w:p w14:paraId="5839B4A4">
            <w:pPr>
              <w:spacing w:line="360" w:lineRule="auto"/>
              <w:ind w:right="480" w:firstLine="480"/>
              <w:jc w:val="center"/>
              <w:rPr>
                <w:b/>
                <w:sz w:val="24"/>
              </w:rPr>
            </w:pPr>
          </w:p>
          <w:p w14:paraId="38D3D76A">
            <w:pPr>
              <w:spacing w:line="360" w:lineRule="auto"/>
              <w:ind w:right="480" w:firstLine="480"/>
              <w:jc w:val="center"/>
              <w:rPr>
                <w:b/>
                <w:sz w:val="24"/>
              </w:rPr>
            </w:pPr>
          </w:p>
          <w:p w14:paraId="3BA7A193">
            <w:pPr>
              <w:spacing w:line="360" w:lineRule="auto"/>
              <w:ind w:right="480"/>
              <w:jc w:val="center"/>
              <w:rPr>
                <w:b/>
                <w:sz w:val="24"/>
              </w:rPr>
            </w:pPr>
            <w:r>
              <w:rPr>
                <w:b/>
                <w:sz w:val="24"/>
              </w:rPr>
              <w:t>对</w:t>
            </w:r>
            <w:r>
              <w:rPr>
                <w:rFonts w:hint="eastAsia"/>
                <w:b/>
                <w:sz w:val="24"/>
              </w:rPr>
              <w:t>转入</w:t>
            </w:r>
            <w:r>
              <w:rPr>
                <w:b/>
                <w:sz w:val="24"/>
              </w:rPr>
              <w:t>专业了解</w:t>
            </w:r>
            <w:r>
              <w:rPr>
                <w:rFonts w:hint="eastAsia"/>
                <w:b/>
                <w:sz w:val="24"/>
              </w:rPr>
              <w:t>程度</w:t>
            </w:r>
          </w:p>
          <w:p w14:paraId="28EE5195">
            <w:pPr>
              <w:spacing w:line="360" w:lineRule="auto"/>
              <w:ind w:right="480" w:firstLine="480"/>
              <w:jc w:val="center"/>
              <w:rPr>
                <w:b/>
                <w:sz w:val="24"/>
              </w:rPr>
            </w:pPr>
          </w:p>
        </w:tc>
        <w:tc>
          <w:tcPr>
            <w:tcW w:w="2221" w:type="pct"/>
          </w:tcPr>
          <w:p w14:paraId="232AB4E2">
            <w:pPr>
              <w:spacing w:line="360" w:lineRule="auto"/>
              <w:ind w:right="480" w:firstLine="480"/>
              <w:rPr>
                <w:b/>
                <w:sz w:val="24"/>
              </w:rPr>
            </w:pPr>
          </w:p>
          <w:p w14:paraId="588E0BEE">
            <w:pPr>
              <w:spacing w:line="360" w:lineRule="auto"/>
              <w:ind w:right="480" w:firstLine="480"/>
              <w:rPr>
                <w:b/>
                <w:sz w:val="24"/>
              </w:rPr>
            </w:pPr>
          </w:p>
          <w:p w14:paraId="1DA5E71E">
            <w:pPr>
              <w:spacing w:line="360" w:lineRule="auto"/>
              <w:ind w:right="480"/>
              <w:rPr>
                <w:b/>
                <w:sz w:val="24"/>
              </w:rPr>
            </w:pPr>
            <w:r>
              <w:rPr>
                <w:rFonts w:hint="eastAsia"/>
                <w:b/>
                <w:sz w:val="24"/>
              </w:rPr>
              <w:t>原有学业成绩良好。</w:t>
            </w:r>
          </w:p>
          <w:p w14:paraId="17092B47">
            <w:pPr>
              <w:spacing w:line="360" w:lineRule="auto"/>
              <w:ind w:right="480"/>
              <w:rPr>
                <w:b/>
                <w:sz w:val="24"/>
              </w:rPr>
            </w:pPr>
            <w:r>
              <w:rPr>
                <w:rFonts w:hint="eastAsia"/>
                <w:b/>
                <w:sz w:val="24"/>
              </w:rPr>
              <w:t>对转入专业具有深入了解。</w:t>
            </w:r>
          </w:p>
        </w:tc>
        <w:tc>
          <w:tcPr>
            <w:tcW w:w="806" w:type="pct"/>
          </w:tcPr>
          <w:p w14:paraId="5D47C537">
            <w:pPr>
              <w:spacing w:line="360" w:lineRule="auto"/>
              <w:ind w:right="480" w:firstLine="480"/>
              <w:jc w:val="center"/>
              <w:rPr>
                <w:b/>
                <w:sz w:val="24"/>
              </w:rPr>
            </w:pPr>
          </w:p>
          <w:p w14:paraId="49A83F56">
            <w:pPr>
              <w:spacing w:line="360" w:lineRule="auto"/>
              <w:ind w:right="480" w:firstLine="480"/>
              <w:jc w:val="center"/>
              <w:rPr>
                <w:b/>
                <w:sz w:val="24"/>
              </w:rPr>
            </w:pPr>
          </w:p>
          <w:p w14:paraId="59BC780D">
            <w:pPr>
              <w:spacing w:line="360" w:lineRule="auto"/>
              <w:ind w:right="480"/>
              <w:jc w:val="center"/>
              <w:rPr>
                <w:b/>
                <w:sz w:val="24"/>
              </w:rPr>
            </w:pPr>
            <w:r>
              <w:rPr>
                <w:rFonts w:hint="eastAsia"/>
                <w:b/>
                <w:sz w:val="24"/>
              </w:rPr>
              <w:t>40</w:t>
            </w:r>
          </w:p>
        </w:tc>
        <w:tc>
          <w:tcPr>
            <w:tcW w:w="865" w:type="pct"/>
          </w:tcPr>
          <w:p w14:paraId="59728F36">
            <w:pPr>
              <w:spacing w:line="360" w:lineRule="auto"/>
              <w:ind w:right="480" w:firstLine="480"/>
              <w:jc w:val="center"/>
              <w:rPr>
                <w:b/>
                <w:sz w:val="24"/>
              </w:rPr>
            </w:pPr>
          </w:p>
        </w:tc>
      </w:tr>
      <w:tr w14:paraId="367C2A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92" w:hRule="atLeast"/>
        </w:trPr>
        <w:tc>
          <w:tcPr>
            <w:tcW w:w="3329" w:type="pct"/>
            <w:gridSpan w:val="2"/>
          </w:tcPr>
          <w:p w14:paraId="3D87355D">
            <w:pPr>
              <w:spacing w:line="360" w:lineRule="auto"/>
              <w:ind w:right="480" w:firstLine="480"/>
              <w:jc w:val="center"/>
              <w:rPr>
                <w:b/>
                <w:sz w:val="24"/>
              </w:rPr>
            </w:pPr>
          </w:p>
          <w:p w14:paraId="5D3EDAC4">
            <w:pPr>
              <w:spacing w:line="360" w:lineRule="auto"/>
              <w:ind w:right="480"/>
              <w:jc w:val="center"/>
              <w:rPr>
                <w:b/>
                <w:sz w:val="24"/>
              </w:rPr>
            </w:pPr>
            <w:r>
              <w:rPr>
                <w:rFonts w:hint="eastAsia"/>
                <w:b/>
                <w:sz w:val="24"/>
              </w:rPr>
              <w:t>总评分数</w:t>
            </w:r>
          </w:p>
        </w:tc>
        <w:tc>
          <w:tcPr>
            <w:tcW w:w="806" w:type="pct"/>
          </w:tcPr>
          <w:p w14:paraId="0E36D961">
            <w:pPr>
              <w:spacing w:line="360" w:lineRule="auto"/>
              <w:ind w:right="480" w:firstLine="480"/>
              <w:jc w:val="center"/>
              <w:rPr>
                <w:b/>
                <w:sz w:val="24"/>
              </w:rPr>
            </w:pPr>
          </w:p>
          <w:p w14:paraId="535FCE42">
            <w:pPr>
              <w:spacing w:line="360" w:lineRule="auto"/>
              <w:ind w:right="480"/>
              <w:jc w:val="center"/>
              <w:rPr>
                <w:b/>
                <w:sz w:val="24"/>
              </w:rPr>
            </w:pPr>
            <w:r>
              <w:rPr>
                <w:rFonts w:hint="eastAsia"/>
                <w:b/>
                <w:sz w:val="24"/>
              </w:rPr>
              <w:t>100</w:t>
            </w:r>
          </w:p>
        </w:tc>
        <w:tc>
          <w:tcPr>
            <w:tcW w:w="865" w:type="pct"/>
          </w:tcPr>
          <w:p w14:paraId="1D78AE7E">
            <w:pPr>
              <w:spacing w:line="360" w:lineRule="auto"/>
              <w:ind w:right="480" w:firstLine="480"/>
              <w:jc w:val="center"/>
              <w:rPr>
                <w:b/>
                <w:sz w:val="24"/>
              </w:rPr>
            </w:pPr>
          </w:p>
        </w:tc>
      </w:tr>
    </w:tbl>
    <w:p w14:paraId="4FE09137">
      <w:pPr>
        <w:wordWrap w:val="0"/>
        <w:spacing w:line="360" w:lineRule="auto"/>
        <w:ind w:right="720" w:firstLine="562" w:firstLineChars="200"/>
        <w:jc w:val="right"/>
        <w:rPr>
          <w:sz w:val="28"/>
          <w:szCs w:val="28"/>
        </w:rPr>
      </w:pPr>
      <w:r>
        <w:rPr>
          <w:rFonts w:hint="eastAsia"/>
          <w:b/>
          <w:sz w:val="28"/>
          <w:szCs w:val="28"/>
        </w:rPr>
        <w:t>专家签名：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CC32B9"/>
    <w:multiLevelType w:val="multilevel"/>
    <w:tmpl w:val="4ECC32B9"/>
    <w:lvl w:ilvl="0" w:tentative="0">
      <w:start w:val="1"/>
      <w:numFmt w:val="japaneseCounting"/>
      <w:lvlText w:val="%1、"/>
      <w:lvlJc w:val="left"/>
      <w:pPr>
        <w:ind w:left="1440" w:hanging="720"/>
      </w:pPr>
      <w:rPr>
        <w:rFonts w:hint="default"/>
      </w:rPr>
    </w:lvl>
    <w:lvl w:ilvl="1" w:tentative="0">
      <w:start w:val="1"/>
      <w:numFmt w:val="lowerLetter"/>
      <w:lvlText w:val="%2)"/>
      <w:lvlJc w:val="left"/>
      <w:pPr>
        <w:ind w:left="1600" w:hanging="440"/>
      </w:pPr>
    </w:lvl>
    <w:lvl w:ilvl="2" w:tentative="0">
      <w:start w:val="1"/>
      <w:numFmt w:val="lowerRoman"/>
      <w:lvlText w:val="%3."/>
      <w:lvlJc w:val="right"/>
      <w:pPr>
        <w:ind w:left="2040" w:hanging="440"/>
      </w:pPr>
    </w:lvl>
    <w:lvl w:ilvl="3" w:tentative="0">
      <w:start w:val="1"/>
      <w:numFmt w:val="decimal"/>
      <w:lvlText w:val="%4."/>
      <w:lvlJc w:val="left"/>
      <w:pPr>
        <w:ind w:left="2480" w:hanging="440"/>
      </w:pPr>
    </w:lvl>
    <w:lvl w:ilvl="4" w:tentative="0">
      <w:start w:val="1"/>
      <w:numFmt w:val="lowerLetter"/>
      <w:lvlText w:val="%5)"/>
      <w:lvlJc w:val="left"/>
      <w:pPr>
        <w:ind w:left="2920" w:hanging="440"/>
      </w:pPr>
    </w:lvl>
    <w:lvl w:ilvl="5" w:tentative="0">
      <w:start w:val="1"/>
      <w:numFmt w:val="lowerRoman"/>
      <w:lvlText w:val="%6."/>
      <w:lvlJc w:val="right"/>
      <w:pPr>
        <w:ind w:left="3360" w:hanging="440"/>
      </w:pPr>
    </w:lvl>
    <w:lvl w:ilvl="6" w:tentative="0">
      <w:start w:val="1"/>
      <w:numFmt w:val="decimal"/>
      <w:lvlText w:val="%7."/>
      <w:lvlJc w:val="left"/>
      <w:pPr>
        <w:ind w:left="3800" w:hanging="440"/>
      </w:pPr>
    </w:lvl>
    <w:lvl w:ilvl="7" w:tentative="0">
      <w:start w:val="1"/>
      <w:numFmt w:val="lowerLetter"/>
      <w:lvlText w:val="%8)"/>
      <w:lvlJc w:val="left"/>
      <w:pPr>
        <w:ind w:left="4240" w:hanging="440"/>
      </w:pPr>
    </w:lvl>
    <w:lvl w:ilvl="8" w:tentative="0">
      <w:start w:val="1"/>
      <w:numFmt w:val="lowerRoman"/>
      <w:lvlText w:val="%9."/>
      <w:lvlJc w:val="right"/>
      <w:pPr>
        <w:ind w:left="46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lZjc4ZDkyYzYxMDRhMTUyZTcyYjMwYTBiMWU1NzAifQ=="/>
  </w:docVars>
  <w:rsids>
    <w:rsidRoot w:val="00310127"/>
    <w:rsid w:val="000023B2"/>
    <w:rsid w:val="000554BB"/>
    <w:rsid w:val="000644AB"/>
    <w:rsid w:val="0007718F"/>
    <w:rsid w:val="0009317E"/>
    <w:rsid w:val="001D44AD"/>
    <w:rsid w:val="002317A1"/>
    <w:rsid w:val="0024198F"/>
    <w:rsid w:val="00254882"/>
    <w:rsid w:val="00281F4E"/>
    <w:rsid w:val="00297362"/>
    <w:rsid w:val="002D5729"/>
    <w:rsid w:val="00310127"/>
    <w:rsid w:val="003231A7"/>
    <w:rsid w:val="00376CC0"/>
    <w:rsid w:val="00386FB3"/>
    <w:rsid w:val="003C1241"/>
    <w:rsid w:val="004136AD"/>
    <w:rsid w:val="004168BD"/>
    <w:rsid w:val="00487C0E"/>
    <w:rsid w:val="004B2819"/>
    <w:rsid w:val="004C35A5"/>
    <w:rsid w:val="00543A63"/>
    <w:rsid w:val="00547120"/>
    <w:rsid w:val="00561E27"/>
    <w:rsid w:val="00583E2C"/>
    <w:rsid w:val="005B5BA8"/>
    <w:rsid w:val="005C1EAC"/>
    <w:rsid w:val="005D2CC0"/>
    <w:rsid w:val="005D31A7"/>
    <w:rsid w:val="005D5377"/>
    <w:rsid w:val="005E0FAE"/>
    <w:rsid w:val="005F6B09"/>
    <w:rsid w:val="00620576"/>
    <w:rsid w:val="00695934"/>
    <w:rsid w:val="006D6672"/>
    <w:rsid w:val="006F1CF9"/>
    <w:rsid w:val="00746FCD"/>
    <w:rsid w:val="007519A5"/>
    <w:rsid w:val="00756517"/>
    <w:rsid w:val="0076283D"/>
    <w:rsid w:val="007A1AA6"/>
    <w:rsid w:val="007C77A2"/>
    <w:rsid w:val="007E63C8"/>
    <w:rsid w:val="008B7849"/>
    <w:rsid w:val="008C2D29"/>
    <w:rsid w:val="008D7227"/>
    <w:rsid w:val="008F387C"/>
    <w:rsid w:val="00912B44"/>
    <w:rsid w:val="009361DB"/>
    <w:rsid w:val="00937870"/>
    <w:rsid w:val="0095798D"/>
    <w:rsid w:val="009A3C81"/>
    <w:rsid w:val="00A43146"/>
    <w:rsid w:val="00A761B0"/>
    <w:rsid w:val="00A83526"/>
    <w:rsid w:val="00AB2E08"/>
    <w:rsid w:val="00B6068B"/>
    <w:rsid w:val="00BF424A"/>
    <w:rsid w:val="00C0142E"/>
    <w:rsid w:val="00C45B2F"/>
    <w:rsid w:val="00C5585A"/>
    <w:rsid w:val="00C746AE"/>
    <w:rsid w:val="00C87F3C"/>
    <w:rsid w:val="00CB4B74"/>
    <w:rsid w:val="00CE4E1C"/>
    <w:rsid w:val="00CF0FCA"/>
    <w:rsid w:val="00D03417"/>
    <w:rsid w:val="00D240FB"/>
    <w:rsid w:val="00D773DF"/>
    <w:rsid w:val="00D854F5"/>
    <w:rsid w:val="00E5238C"/>
    <w:rsid w:val="00E7023E"/>
    <w:rsid w:val="00E974C6"/>
    <w:rsid w:val="00EF4AA9"/>
    <w:rsid w:val="00EF7091"/>
    <w:rsid w:val="00F53A22"/>
    <w:rsid w:val="00FA2D22"/>
    <w:rsid w:val="00FD00AD"/>
    <w:rsid w:val="11B97CBB"/>
    <w:rsid w:val="1B993E33"/>
    <w:rsid w:val="1C09609F"/>
    <w:rsid w:val="2E11050D"/>
    <w:rsid w:val="31136CBE"/>
    <w:rsid w:val="39C2500F"/>
    <w:rsid w:val="429B41C6"/>
    <w:rsid w:val="52623FED"/>
    <w:rsid w:val="5A315A59"/>
    <w:rsid w:val="64183ED0"/>
    <w:rsid w:val="6A667E7A"/>
    <w:rsid w:val="77001C75"/>
    <w:rsid w:val="7B1C4C35"/>
    <w:rsid w:val="7B292B34"/>
    <w:rsid w:val="7E865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autoRedefine/>
    <w:qFormat/>
    <w:uiPriority w:val="0"/>
    <w:pPr>
      <w:ind w:left="100" w:leftChars="2500"/>
    </w:p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autoRedefine/>
    <w:qFormat/>
    <w:uiPriority w:val="0"/>
    <w:rPr>
      <w:rFonts w:asciiTheme="minorHAnsi" w:hAnsiTheme="minorHAnsi" w:eastAsiaTheme="minorEastAsia" w:cstheme="minorBidi"/>
      <w:kern w:val="2"/>
      <w:sz w:val="18"/>
      <w:szCs w:val="18"/>
    </w:rPr>
  </w:style>
  <w:style w:type="character" w:customStyle="1" w:styleId="9">
    <w:name w:val="页脚 字符"/>
    <w:basedOn w:val="7"/>
    <w:link w:val="3"/>
    <w:autoRedefine/>
    <w:qFormat/>
    <w:uiPriority w:val="0"/>
    <w:rPr>
      <w:rFonts w:asciiTheme="minorHAnsi" w:hAnsiTheme="minorHAnsi" w:eastAsiaTheme="minorEastAsia" w:cstheme="minorBidi"/>
      <w:kern w:val="2"/>
      <w:sz w:val="18"/>
      <w:szCs w:val="18"/>
    </w:rPr>
  </w:style>
  <w:style w:type="character" w:customStyle="1" w:styleId="10">
    <w:name w:val="日期 字符"/>
    <w:basedOn w:val="7"/>
    <w:link w:val="2"/>
    <w:autoRedefine/>
    <w:qFormat/>
    <w:uiPriority w:val="0"/>
    <w:rPr>
      <w:rFonts w:asciiTheme="minorHAnsi" w:hAnsiTheme="minorHAnsi" w:eastAsiaTheme="minorEastAsia" w:cstheme="minorBidi"/>
      <w:kern w:val="2"/>
      <w:sz w:val="21"/>
      <w:szCs w:val="24"/>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965</Words>
  <Characters>1002</Characters>
  <Lines>8</Lines>
  <Paragraphs>2</Paragraphs>
  <TotalTime>16</TotalTime>
  <ScaleCrop>false</ScaleCrop>
  <LinksUpToDate>false</LinksUpToDate>
  <CharactersWithSpaces>1083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2024-12-27T07:19:00Z</dcterms:created>
  <dc:creator>Administrator</dc:creator>
  <cp:lastModifiedBy>孙倩倩</cp:lastModifiedBy>
  <cp:lastPrinted>2024-01-10T02:36:00Z</cp:lastPrinted>
  <dcterms:modified xsi:type="dcterms:W3CDTF">2025-01-03T06:18:03Z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0617D4725738456BA0A61590CC0EF6C5_13</vt:lpwstr>
  </property>
  <property fmtid="{D5CDD505-2E9C-101B-9397-08002B2CF9AE}" pid="4" name="KSOTemplateDocerSaveRecord">
    <vt:lpwstr>eyJoZGlkIjoiYjBlYjUxMjRhMGM2MGY1MDNjN2QyNTkxNzA3ZWUwOTQiLCJ1c2VySWQiOiI2MTU1NjE2NjEifQ==</vt:lpwstr>
  </property>
</Properties>
</file>