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合肥学院语言文化与传媒学院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第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次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学生代表大会代表产生办法</w:t>
      </w:r>
    </w:p>
    <w:p>
      <w:pPr>
        <w:adjustRightInd/>
        <w:snapToGrid/>
        <w:spacing w:line="600" w:lineRule="atLeast"/>
        <w:ind w:right="0" w:firstLine="720" w:firstLineChars="200"/>
        <w:rPr>
          <w:sz w:val="36"/>
          <w:szCs w:val="36"/>
        </w:rPr>
      </w:pPr>
    </w:p>
    <w:p>
      <w:pPr>
        <w:pStyle w:val="3"/>
        <w:adjustRightInd/>
        <w:snapToGrid/>
        <w:spacing w:line="600" w:lineRule="atLeast"/>
        <w:ind w:right="0" w:firstLine="560" w:firstLineChars="200"/>
      </w:pPr>
      <w:r>
        <w:rPr>
          <w:rFonts w:hint="default" w:ascii="仿宋_GB2312" w:eastAsia="仿宋_GB2312"/>
          <w:sz w:val="28"/>
          <w:szCs w:val="28"/>
        </w:rPr>
        <w:t>根据《中华全国学生联合会章程》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default" w:ascii="仿宋_GB2312" w:eastAsia="仿宋_GB2312"/>
          <w:sz w:val="28"/>
          <w:szCs w:val="28"/>
        </w:rPr>
        <w:t>《合肥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eastAsia="仿宋_GB2312"/>
          <w:sz w:val="28"/>
          <w:szCs w:val="28"/>
        </w:rPr>
        <w:t>学生会章程》</w:t>
      </w:r>
      <w:r>
        <w:rPr>
          <w:rFonts w:hint="eastAsia" w:ascii="仿宋_GB2312" w:eastAsia="仿宋_GB2312"/>
          <w:sz w:val="28"/>
          <w:szCs w:val="28"/>
          <w:lang w:eastAsia="zh-CN"/>
        </w:rPr>
        <w:t>和《合肥学院二级学院学生代表大会召开指引》（试行）</w:t>
      </w:r>
      <w:r>
        <w:rPr>
          <w:rFonts w:hint="default" w:ascii="仿宋_GB2312" w:eastAsia="仿宋_GB2312"/>
          <w:sz w:val="28"/>
          <w:szCs w:val="28"/>
        </w:rPr>
        <w:t>的有关规定，现制定各选举单位出席</w:t>
      </w:r>
      <w:r>
        <w:rPr>
          <w:rFonts w:hint="eastAsia" w:ascii="仿宋_GB2312" w:eastAsia="仿宋_GB2312"/>
          <w:sz w:val="28"/>
          <w:szCs w:val="28"/>
          <w:lang w:eastAsia="zh-CN"/>
        </w:rPr>
        <w:t>合肥学院语言文化与传媒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eastAsia="仿宋_GB2312"/>
          <w:sz w:val="28"/>
          <w:szCs w:val="28"/>
        </w:rPr>
        <w:t>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default" w:ascii="仿宋_GB2312" w:eastAsia="仿宋_GB2312"/>
          <w:sz w:val="28"/>
          <w:szCs w:val="28"/>
        </w:rPr>
        <w:t>次学生代表大会（以下简称“学代会”）代表产生办法。</w:t>
      </w:r>
    </w:p>
    <w:p>
      <w:pPr>
        <w:adjustRightInd/>
        <w:snapToGrid/>
        <w:spacing w:line="600" w:lineRule="atLeast"/>
        <w:ind w:right="0" w:firstLine="562" w:firstLineChars="200"/>
      </w:pPr>
      <w:r>
        <w:rPr>
          <w:rFonts w:hint="default" w:ascii="仿宋_GB2312" w:hAnsi="宋体" w:eastAsia="仿宋_GB2312"/>
          <w:b/>
          <w:sz w:val="28"/>
          <w:szCs w:val="28"/>
        </w:rPr>
        <w:t>一、代表名额总数及分配</w:t>
      </w:r>
    </w:p>
    <w:p>
      <w:pPr>
        <w:adjustRightInd/>
        <w:snapToGrid/>
        <w:spacing w:line="600" w:lineRule="atLeast"/>
        <w:ind w:right="0" w:firstLine="420" w:firstLineChars="200"/>
      </w:pPr>
      <w:r>
        <w:tab/>
      </w:r>
      <w:r>
        <w:rPr>
          <w:rFonts w:hint="default" w:ascii="宋体" w:hAnsi="宋体"/>
          <w:sz w:val="28"/>
          <w:szCs w:val="28"/>
        </w:rPr>
        <w:t xml:space="preserve"> </w:t>
      </w:r>
      <w:r>
        <w:rPr>
          <w:rFonts w:hint="default" w:ascii="仿宋_GB2312" w:hAnsi="宋体" w:eastAsia="仿宋_GB2312"/>
          <w:sz w:val="28"/>
          <w:szCs w:val="28"/>
        </w:rPr>
        <w:t>根据</w:t>
      </w:r>
      <w:r>
        <w:rPr>
          <w:rFonts w:hint="default" w:ascii="仿宋_GB2312" w:eastAsia="仿宋_GB2312"/>
          <w:sz w:val="28"/>
          <w:szCs w:val="28"/>
        </w:rPr>
        <w:t>《中华全国学生联合会章程》和《合肥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eastAsia="仿宋_GB2312"/>
          <w:sz w:val="28"/>
          <w:szCs w:val="28"/>
        </w:rPr>
        <w:t>学生会章程》的有关规定，结合</w:t>
      </w:r>
      <w:r>
        <w:rPr>
          <w:rFonts w:hint="eastAsia" w:ascii="仿宋_GB2312" w:eastAsia="仿宋_GB2312"/>
          <w:sz w:val="28"/>
          <w:szCs w:val="28"/>
          <w:lang w:eastAsia="zh-CN"/>
        </w:rPr>
        <w:t>本院</w:t>
      </w:r>
      <w:r>
        <w:rPr>
          <w:rFonts w:hint="default" w:ascii="仿宋_GB2312" w:eastAsia="仿宋_GB2312"/>
          <w:sz w:val="28"/>
          <w:szCs w:val="28"/>
        </w:rPr>
        <w:t>实际，</w:t>
      </w:r>
      <w:r>
        <w:rPr>
          <w:rFonts w:hint="default" w:ascii="仿宋_GB2312" w:hAnsi="宋体" w:eastAsia="仿宋_GB2312"/>
          <w:sz w:val="28"/>
          <w:szCs w:val="28"/>
        </w:rPr>
        <w:t>确定本次学代会的代表名额为</w:t>
      </w:r>
      <w:r>
        <w:rPr>
          <w:rFonts w:hint="default" w:ascii="仿宋_GB2312" w:hAnsi="宋体" w:eastAsia="仿宋_GB2312"/>
          <w:sz w:val="28"/>
          <w:szCs w:val="28"/>
          <w:lang w:val="en-US"/>
        </w:rPr>
        <w:t>40</w:t>
      </w:r>
      <w:r>
        <w:rPr>
          <w:rFonts w:hint="default" w:ascii="仿宋_GB2312" w:hAnsi="宋体" w:eastAsia="仿宋_GB2312"/>
          <w:sz w:val="28"/>
          <w:szCs w:val="28"/>
        </w:rPr>
        <w:t>人。按照兼顾代表性和广泛性的原则，本次学代会代表中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学生干部人数不超过40%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，少数民族代表占一定比例</w:t>
      </w:r>
      <w:r>
        <w:rPr>
          <w:rFonts w:hint="default" w:ascii="仿宋_GB2312" w:hAnsi="宋体" w:eastAsia="仿宋_GB2312"/>
          <w:sz w:val="28"/>
          <w:szCs w:val="28"/>
        </w:rPr>
        <w:t>。</w:t>
      </w:r>
    </w:p>
    <w:p>
      <w:pPr>
        <w:adjustRightInd/>
        <w:snapToGrid/>
        <w:spacing w:line="600" w:lineRule="atLeast"/>
        <w:ind w:right="0" w:firstLine="560" w:firstLineChars="200"/>
      </w:pPr>
      <w:r>
        <w:rPr>
          <w:rFonts w:hint="default" w:ascii="仿宋_GB2312" w:hAnsi="宋体" w:eastAsia="仿宋_GB2312"/>
          <w:sz w:val="28"/>
          <w:szCs w:val="28"/>
        </w:rPr>
        <w:t>根据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各选举单位</w:t>
      </w:r>
      <w:r>
        <w:rPr>
          <w:rFonts w:hint="default" w:ascii="仿宋_GB2312" w:hAnsi="宋体" w:eastAsia="仿宋_GB2312"/>
          <w:sz w:val="28"/>
          <w:szCs w:val="28"/>
        </w:rPr>
        <w:t>学生比例，结合实际工作需要分配代表名额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鉴于大四年级无人参选，遂将名额按照青年大学习完成率排名分配给大二、大三年级及学生干部所在的班级。</w:t>
      </w:r>
      <w:r>
        <w:rPr>
          <w:rFonts w:hint="default" w:ascii="仿宋_GB2312" w:hAnsi="宋体" w:eastAsia="仿宋_GB2312"/>
          <w:sz w:val="28"/>
          <w:szCs w:val="28"/>
        </w:rPr>
        <w:t>（见附件1）。</w:t>
      </w:r>
    </w:p>
    <w:p>
      <w:pPr>
        <w:adjustRightInd/>
        <w:snapToGrid/>
        <w:spacing w:line="600" w:lineRule="atLeast"/>
        <w:ind w:right="0" w:firstLine="562" w:firstLineChars="200"/>
      </w:pPr>
      <w:r>
        <w:rPr>
          <w:rFonts w:hint="default" w:ascii="仿宋_GB2312" w:hAnsi="宋体" w:eastAsia="仿宋_GB2312"/>
          <w:b/>
          <w:sz w:val="28"/>
          <w:szCs w:val="28"/>
        </w:rPr>
        <w:t>二、代表应具备的条件</w:t>
      </w:r>
    </w:p>
    <w:p>
      <w:pPr>
        <w:adjustRightInd/>
        <w:snapToGrid/>
        <w:spacing w:line="600" w:lineRule="atLeast"/>
        <w:ind w:right="0" w:firstLine="560" w:firstLineChars="200"/>
      </w:pPr>
      <w:r>
        <w:rPr>
          <w:rFonts w:hint="default" w:ascii="仿宋_GB2312" w:hAnsi="宋体" w:eastAsia="仿宋_GB2312"/>
          <w:sz w:val="28"/>
          <w:szCs w:val="28"/>
        </w:rPr>
        <w:t>（一）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理想信念坚定。认真学习贯彻习近平新时代中国特色社会主义思想，自觉增强“四个意识”、坚定“四个自信”、做到“两个维护”。有共产主义远大理想和中国特色社会主义共同理想，</w:t>
      </w:r>
      <w:r>
        <w:rPr>
          <w:rFonts w:hint="default" w:ascii="仿宋_GB2312" w:hAnsi="宋体" w:eastAsia="仿宋_GB2312"/>
          <w:sz w:val="28"/>
          <w:szCs w:val="28"/>
        </w:rPr>
        <w:t>热爱中国共产党，热爱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社会主义</w:t>
      </w:r>
      <w:r>
        <w:rPr>
          <w:rFonts w:hint="default" w:ascii="仿宋_GB2312" w:hAnsi="宋体" w:eastAsia="仿宋_GB2312"/>
          <w:sz w:val="28"/>
          <w:szCs w:val="28"/>
        </w:rPr>
        <w:t>祖国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。</w:t>
      </w:r>
    </w:p>
    <w:p>
      <w:pPr>
        <w:adjustRightInd/>
        <w:snapToGrid/>
        <w:spacing w:line="600" w:lineRule="atLeast"/>
        <w:ind w:right="0" w:firstLine="560" w:firstLineChars="200"/>
      </w:pPr>
      <w:r>
        <w:rPr>
          <w:rFonts w:hint="default" w:ascii="仿宋_GB2312" w:hAnsi="宋体" w:eastAsia="仿宋_GB2312"/>
          <w:sz w:val="28"/>
          <w:szCs w:val="28"/>
        </w:rPr>
        <w:t>（二）遵守国家的各项法律法规，遵守学校各项规章制度，遵守《合肥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hAnsi="宋体" w:eastAsia="仿宋_GB2312"/>
          <w:sz w:val="28"/>
          <w:szCs w:val="28"/>
        </w:rPr>
        <w:t>学生会章程》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default" w:ascii="仿宋_GB2312" w:hAnsi="宋体" w:eastAsia="仿宋_GB2312"/>
          <w:sz w:val="28"/>
          <w:szCs w:val="28"/>
        </w:rPr>
        <w:t>未受任何校纪处分，具有选举权和被选举权。</w:t>
      </w:r>
    </w:p>
    <w:p>
      <w:pPr>
        <w:adjustRightInd/>
        <w:snapToGrid/>
        <w:spacing w:line="600" w:lineRule="atLeast"/>
        <w:ind w:right="0"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default" w:ascii="仿宋_GB2312" w:hAnsi="宋体" w:eastAsia="仿宋_GB2312"/>
          <w:sz w:val="28"/>
          <w:szCs w:val="28"/>
        </w:rPr>
        <w:t>（三）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表率作用突出。</w:t>
      </w:r>
      <w:r>
        <w:rPr>
          <w:rFonts w:hint="default" w:ascii="仿宋_GB2312" w:hAnsi="宋体" w:eastAsia="仿宋_GB2312"/>
          <w:sz w:val="28"/>
          <w:szCs w:val="28"/>
        </w:rPr>
        <w:t>积极投身中国梦的伟大实践，完成党团组织交办的任务，在学习、工作和其他社会活动中起模范作用并做出突出成绩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积极投身于新冠疫情防控阻击战中，在志愿服务、组织宣传等工作中发挥积极作用，表现突出。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且从青年大学习第十三季第一期开始至今，每期完成率达到100%。</w:t>
      </w:r>
    </w:p>
    <w:p>
      <w:pPr>
        <w:adjustRightInd/>
        <w:snapToGrid/>
        <w:spacing w:line="600" w:lineRule="atLeast"/>
        <w:ind w:right="0" w:firstLine="560" w:firstLineChars="200"/>
      </w:pPr>
      <w:r>
        <w:rPr>
          <w:rFonts w:hint="default" w:ascii="仿宋_GB2312" w:hAnsi="宋体" w:eastAsia="仿宋_GB2312"/>
          <w:sz w:val="28"/>
          <w:szCs w:val="28"/>
        </w:rPr>
        <w:t>（四）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群众基础良好。能够深入广大青年学子中，积极主动服务身边同学，在同学中评价良好，威信较高。</w:t>
      </w:r>
    </w:p>
    <w:p>
      <w:pPr>
        <w:adjustRightInd/>
        <w:snapToGrid/>
        <w:spacing w:line="600" w:lineRule="atLeast"/>
        <w:ind w:right="0" w:firstLine="560" w:firstLineChars="200"/>
        <w:jc w:val="left"/>
      </w:pPr>
      <w:r>
        <w:rPr>
          <w:rFonts w:hint="default" w:ascii="仿宋_GB2312" w:hAnsi="宋体" w:eastAsia="仿宋_GB2312"/>
          <w:sz w:val="28"/>
          <w:szCs w:val="28"/>
        </w:rPr>
        <w:t>（五）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合肥学院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语言文化与传媒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学院在籍</w:t>
      </w:r>
      <w:r>
        <w:rPr>
          <w:rFonts w:hint="default" w:ascii="仿宋_GB2312" w:hAnsi="宋体" w:eastAsia="仿宋_GB2312"/>
          <w:sz w:val="28"/>
          <w:szCs w:val="28"/>
        </w:rPr>
        <w:t>的学生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。</w:t>
      </w:r>
    </w:p>
    <w:p>
      <w:pPr>
        <w:adjustRightInd/>
        <w:snapToGrid/>
        <w:spacing w:line="600" w:lineRule="atLeast"/>
        <w:ind w:right="0" w:firstLine="562" w:firstLineChars="200"/>
      </w:pPr>
      <w:r>
        <w:rPr>
          <w:rFonts w:hint="default" w:ascii="仿宋_GB2312" w:hAnsi="宋体" w:eastAsia="仿宋_GB2312"/>
          <w:b/>
          <w:sz w:val="28"/>
          <w:szCs w:val="28"/>
        </w:rPr>
        <w:t>三、代表产生的程序</w:t>
      </w:r>
    </w:p>
    <w:p>
      <w:pPr>
        <w:adjustRightInd/>
        <w:snapToGrid/>
        <w:spacing w:line="600" w:lineRule="atLeast"/>
        <w:ind w:right="0" w:firstLine="562" w:firstLineChars="200"/>
        <w:jc w:val="left"/>
      </w:pPr>
      <w:r>
        <w:rPr>
          <w:rFonts w:hint="default" w:ascii="仿宋_GB2312" w:hAnsi="宋体" w:eastAsia="仿宋_GB2312"/>
          <w:b/>
          <w:sz w:val="28"/>
          <w:szCs w:val="28"/>
        </w:rPr>
        <w:t>（一）</w:t>
      </w:r>
      <w:r>
        <w:rPr>
          <w:rFonts w:hint="default" w:ascii="仿宋_GB2312" w:hAnsi="宋体" w:eastAsia="仿宋_GB2312"/>
          <w:sz w:val="28"/>
          <w:szCs w:val="28"/>
        </w:rPr>
        <w:t>代表候选人预备人选的酝酿和报批</w:t>
      </w:r>
    </w:p>
    <w:p>
      <w:pPr>
        <w:adjustRightInd/>
        <w:snapToGrid/>
        <w:spacing w:line="600" w:lineRule="atLeast"/>
        <w:ind w:right="0" w:firstLine="560" w:firstLineChars="200"/>
        <w:jc w:val="left"/>
      </w:pPr>
      <w:r>
        <w:rPr>
          <w:rFonts w:hint="default" w:ascii="仿宋_GB2312" w:hAnsi="宋体" w:eastAsia="仿宋_GB2312"/>
          <w:sz w:val="28"/>
          <w:szCs w:val="28"/>
        </w:rPr>
        <w:t>各选举单位在保证学生的参与数量和比例基础上组织学生酝酿讨论，充分发扬民主，广泛征求学生的意见，按照不少于代表名额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15</w:t>
      </w:r>
      <w:r>
        <w:rPr>
          <w:rFonts w:hint="default" w:ascii="仿宋_GB2312" w:hAnsi="宋体" w:eastAsia="仿宋_GB2312"/>
          <w:sz w:val="28"/>
          <w:szCs w:val="28"/>
        </w:rPr>
        <w:t>%的要求，提出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语言文化与传媒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</w:t>
      </w:r>
      <w:r>
        <w:rPr>
          <w:rFonts w:hint="default" w:ascii="仿宋_GB2312" w:hAnsi="宋体" w:eastAsia="仿宋_GB2312"/>
          <w:sz w:val="28"/>
          <w:szCs w:val="28"/>
        </w:rPr>
        <w:t>次学生代表大会代表候选人预备人选建议名单（见附件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宋体" w:eastAsia="仿宋_GB2312"/>
          <w:sz w:val="28"/>
          <w:szCs w:val="28"/>
        </w:rPr>
        <w:t>），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上</w:t>
      </w:r>
      <w:r>
        <w:rPr>
          <w:rFonts w:hint="default" w:ascii="仿宋_GB2312" w:hAnsi="宋体" w:eastAsia="仿宋_GB2312"/>
          <w:sz w:val="28"/>
          <w:szCs w:val="28"/>
        </w:rPr>
        <w:t>报学代会筹备工作委员会（以下简称“筹委会”）。</w:t>
      </w:r>
    </w:p>
    <w:p>
      <w:pPr>
        <w:adjustRightInd/>
        <w:snapToGrid/>
        <w:spacing w:line="600" w:lineRule="atLeast"/>
        <w:ind w:right="0" w:firstLine="560" w:firstLineChars="200"/>
        <w:jc w:val="left"/>
      </w:pPr>
      <w:r>
        <w:rPr>
          <w:rFonts w:hint="default" w:ascii="仿宋_GB2312" w:hAnsi="宋体" w:eastAsia="仿宋_GB2312"/>
          <w:sz w:val="28"/>
          <w:szCs w:val="28"/>
        </w:rPr>
        <w:t>筹委会认真审查并及时批复。审查内容包括，代表候选人预备人选建议名单的酝酿提名程序和方法、差额比例是否符合规定，构成是否合理，代表候选人预备人选建议名单是否符合代表条件。对不符合规定程序和不符合条件的提出调整意见。</w:t>
      </w:r>
    </w:p>
    <w:p>
      <w:pPr>
        <w:adjustRightInd/>
        <w:snapToGrid/>
        <w:spacing w:line="600" w:lineRule="atLeast"/>
        <w:ind w:right="0" w:firstLine="560" w:firstLineChars="200"/>
        <w:jc w:val="left"/>
      </w:pPr>
      <w:r>
        <w:rPr>
          <w:rFonts w:hint="default" w:ascii="仿宋_GB2312" w:hAnsi="宋体" w:eastAsia="仿宋_GB2312"/>
          <w:sz w:val="28"/>
          <w:szCs w:val="28"/>
        </w:rPr>
        <w:t>经过调整后代表候选人预备人选建议名单未达到“不少于应选名额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15</w:t>
      </w:r>
      <w:r>
        <w:rPr>
          <w:rFonts w:hint="default" w:ascii="仿宋_GB2312" w:hAnsi="宋体" w:eastAsia="仿宋_GB2312"/>
          <w:sz w:val="28"/>
          <w:szCs w:val="28"/>
        </w:rPr>
        <w:t>%”标准的，选举单位可以及时向本单位团组织和筹委会补报，筹委会将根据情况批复。</w:t>
      </w:r>
    </w:p>
    <w:p>
      <w:pPr>
        <w:adjustRightInd/>
        <w:snapToGrid/>
        <w:spacing w:line="600" w:lineRule="atLeast"/>
        <w:ind w:right="0" w:firstLine="562" w:firstLineChars="200"/>
        <w:jc w:val="left"/>
      </w:pPr>
      <w:r>
        <w:rPr>
          <w:rFonts w:hint="default" w:ascii="仿宋_GB2312" w:hAnsi="宋体" w:eastAsia="仿宋_GB2312"/>
          <w:b/>
          <w:sz w:val="28"/>
          <w:szCs w:val="28"/>
        </w:rPr>
        <w:t>（二）</w:t>
      </w:r>
      <w:r>
        <w:rPr>
          <w:rFonts w:hint="default" w:ascii="仿宋_GB2312" w:hAnsi="宋体" w:eastAsia="仿宋_GB2312"/>
          <w:sz w:val="28"/>
          <w:szCs w:val="28"/>
        </w:rPr>
        <w:t>代表的选举</w:t>
      </w:r>
    </w:p>
    <w:p>
      <w:pPr>
        <w:adjustRightInd/>
        <w:snapToGrid/>
        <w:spacing w:line="600" w:lineRule="atLeast"/>
        <w:ind w:right="0" w:firstLine="560" w:firstLineChars="200"/>
        <w:jc w:val="left"/>
      </w:pPr>
      <w:r>
        <w:rPr>
          <w:rFonts w:hint="default" w:ascii="仿宋_GB2312" w:hAnsi="宋体" w:eastAsia="仿宋_GB2312"/>
          <w:sz w:val="28"/>
          <w:szCs w:val="28"/>
        </w:rPr>
        <w:t>代表候选人预备人选建议名单经审查同意后，各选举单位筹备召开学生代表会议。各选举单位将代表候选人预备人选提交学生代表会议酝酿通过，确定为代表候选人,再通过差额选举，以无记名投票的方式选举产生出席学代会的代表。</w:t>
      </w:r>
    </w:p>
    <w:p>
      <w:pPr>
        <w:adjustRightInd/>
        <w:snapToGrid/>
        <w:spacing w:line="600" w:lineRule="atLeast"/>
        <w:ind w:right="0" w:firstLine="562" w:firstLineChars="200"/>
        <w:jc w:val="left"/>
      </w:pPr>
      <w:r>
        <w:rPr>
          <w:rFonts w:hint="default" w:ascii="仿宋_GB2312" w:hAnsi="宋体" w:eastAsia="仿宋_GB2312"/>
          <w:b/>
          <w:sz w:val="28"/>
          <w:szCs w:val="28"/>
        </w:rPr>
        <w:t>（三）</w:t>
      </w:r>
      <w:r>
        <w:rPr>
          <w:rFonts w:hint="default" w:ascii="仿宋_GB2312" w:hAnsi="宋体" w:eastAsia="仿宋_GB2312"/>
          <w:sz w:val="28"/>
          <w:szCs w:val="28"/>
        </w:rPr>
        <w:t>代表选举结果的报批</w:t>
      </w:r>
    </w:p>
    <w:p>
      <w:pPr>
        <w:adjustRightInd/>
        <w:snapToGrid/>
        <w:spacing w:line="600" w:lineRule="atLeast"/>
        <w:ind w:right="0" w:firstLine="560" w:firstLineChars="200"/>
        <w:jc w:val="left"/>
      </w:pPr>
      <w:r>
        <w:rPr>
          <w:rFonts w:hint="default" w:ascii="仿宋_GB2312" w:hAnsi="宋体" w:eastAsia="仿宋_GB2312"/>
          <w:sz w:val="28"/>
          <w:szCs w:val="28"/>
        </w:rPr>
        <w:t>各选举单位按照规定选举后，及时向筹委会呈报经本单位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班级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default" w:ascii="仿宋_GB2312" w:hAnsi="宋体" w:eastAsia="仿宋_GB2312"/>
          <w:sz w:val="28"/>
          <w:szCs w:val="28"/>
        </w:rPr>
        <w:t>团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支部</w:t>
      </w:r>
      <w:r>
        <w:rPr>
          <w:rFonts w:hint="default" w:ascii="仿宋_GB2312" w:hAnsi="宋体" w:eastAsia="仿宋_GB2312"/>
          <w:sz w:val="28"/>
          <w:szCs w:val="28"/>
        </w:rPr>
        <w:t>审批的出席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合肥学院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语言文化与传媒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default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</w:t>
      </w:r>
      <w:r>
        <w:rPr>
          <w:rFonts w:hint="default" w:ascii="仿宋_GB2312" w:hAnsi="宋体" w:eastAsia="仿宋_GB2312"/>
          <w:sz w:val="28"/>
          <w:szCs w:val="28"/>
        </w:rPr>
        <w:t>次学生代表大会代表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候选人预备人选建议名单</w:t>
      </w:r>
      <w:r>
        <w:rPr>
          <w:rFonts w:hint="default" w:ascii="仿宋_GB2312" w:hAnsi="宋体" w:eastAsia="仿宋_GB2312"/>
          <w:sz w:val="28"/>
          <w:szCs w:val="28"/>
        </w:rPr>
        <w:t>（见附件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宋体" w:eastAsia="仿宋_GB2312"/>
          <w:sz w:val="28"/>
          <w:szCs w:val="28"/>
        </w:rPr>
        <w:t>）及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学代会代表选举</w:t>
      </w:r>
      <w:r>
        <w:rPr>
          <w:rFonts w:hint="default" w:ascii="仿宋_GB2312" w:hAnsi="宋体" w:eastAsia="仿宋_GB2312"/>
          <w:sz w:val="28"/>
          <w:szCs w:val="28"/>
        </w:rPr>
        <w:t>结果报告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单</w:t>
      </w:r>
      <w:r>
        <w:rPr>
          <w:rFonts w:hint="default" w:ascii="仿宋_GB2312" w:hAnsi="宋体" w:eastAsia="仿宋_GB2312"/>
          <w:sz w:val="28"/>
          <w:szCs w:val="28"/>
        </w:rPr>
        <w:t>(见附件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default" w:ascii="仿宋_GB2312" w:hAnsi="宋体" w:eastAsia="仿宋_GB2312"/>
          <w:sz w:val="28"/>
          <w:szCs w:val="28"/>
        </w:rPr>
        <w:t>)。</w:t>
      </w:r>
    </w:p>
    <w:p/>
    <w:p/>
    <w:p/>
    <w:p/>
    <w:p/>
    <w:p/>
    <w:p/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default" w:ascii="宋体" w:hAnsi="宋体"/>
          <w:b w:val="0"/>
          <w:bCs/>
          <w:sz w:val="22"/>
          <w:szCs w:val="22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/>
          <w:sz w:val="22"/>
          <w:szCs w:val="22"/>
          <w:lang w:val="en-US" w:eastAsia="zh-CN"/>
        </w:rPr>
      </w:pPr>
      <w:r>
        <w:rPr>
          <w:rFonts w:hint="default" w:ascii="宋体" w:hAnsi="宋体"/>
          <w:b w:val="0"/>
          <w:bCs/>
          <w:sz w:val="22"/>
          <w:szCs w:val="22"/>
        </w:rPr>
        <w:t>附件1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default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合肥学院语言文化与传媒学院</w:t>
      </w:r>
      <w:r>
        <w:rPr>
          <w:rFonts w:hint="default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default" w:ascii="宋体" w:hAnsi="宋体"/>
          <w:b/>
          <w:sz w:val="28"/>
          <w:szCs w:val="28"/>
        </w:rPr>
        <w:t>次学生代表大会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default" w:ascii="宋体" w:hAnsi="宋体"/>
          <w:b/>
          <w:sz w:val="28"/>
          <w:szCs w:val="28"/>
        </w:rPr>
        <w:t>名额分配表</w:t>
      </w:r>
    </w:p>
    <w:p>
      <w:pPr>
        <w:spacing w:line="360" w:lineRule="auto"/>
        <w:rPr>
          <w:rFonts w:hint="default" w:ascii="宋体" w:hAnsi="宋体"/>
          <w:b/>
          <w:sz w:val="36"/>
          <w:szCs w:val="36"/>
        </w:rPr>
      </w:pPr>
    </w:p>
    <w:tbl>
      <w:tblPr>
        <w:tblStyle w:val="7"/>
        <w:tblpPr w:leftFromText="180" w:rightFromText="180" w:vertAnchor="page" w:horzAnchor="page" w:tblpXSpec="center" w:tblpY="4299"/>
        <w:tblW w:w="101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361"/>
        <w:gridCol w:w="1628"/>
        <w:gridCol w:w="2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序号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选举单位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</w:rPr>
              <w:t>代表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候选</w:t>
            </w:r>
            <w:r>
              <w:rPr>
                <w:rFonts w:hint="eastAsia" w:ascii="仿宋" w:hAnsi="仿宋" w:eastAsia="仿宋" w:cs="仿宋"/>
                <w:b/>
              </w:rPr>
              <w:t>名额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代表名额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19汉语言文学一班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19汉语言文学二班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19新闻班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汉语言文学一班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汉语言文学二班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新闻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21汉语言文学一班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21汉语言文学二班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21新闻一班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21新闻一班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21网络与新媒体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40</w:t>
            </w:r>
          </w:p>
        </w:tc>
      </w:tr>
    </w:tbl>
    <w:p>
      <w:pPr>
        <w:tabs>
          <w:tab w:val="left" w:pos="1320"/>
        </w:tabs>
      </w:pPr>
    </w:p>
    <w:p>
      <w:pPr>
        <w:tabs>
          <w:tab w:val="left" w:pos="1320"/>
        </w:tabs>
      </w:pP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附件2</w:t>
      </w:r>
      <w:r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合肥学院语言文化与传媒学院第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次学生代表大会选举工作进程安排</w:t>
      </w:r>
    </w:p>
    <w:p>
      <w:pPr>
        <w:tabs>
          <w:tab w:val="center" w:pos="4422"/>
        </w:tabs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【时间】5月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  <w:r>
        <w:rPr>
          <w:rFonts w:ascii="仿宋" w:hAnsi="仿宋" w:eastAsia="仿宋"/>
          <w:b/>
          <w:bCs/>
          <w:sz w:val="28"/>
          <w:szCs w:val="28"/>
        </w:rPr>
        <w:tab/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各班级选举单位开展本单位</w:t>
      </w:r>
      <w:r>
        <w:rPr>
          <w:rFonts w:hint="eastAsia" w:ascii="仿宋" w:hAnsi="仿宋" w:eastAsia="仿宋"/>
          <w:b/>
          <w:sz w:val="28"/>
          <w:szCs w:val="28"/>
        </w:rPr>
        <w:t>学代会代表候选人预备人选的提名</w:t>
      </w:r>
      <w:r>
        <w:rPr>
          <w:rFonts w:hint="eastAsia" w:ascii="仿宋" w:hAnsi="仿宋" w:eastAsia="仿宋"/>
          <w:sz w:val="28"/>
          <w:szCs w:val="28"/>
        </w:rPr>
        <w:t>工作。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【时间】5月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28"/>
          <w:szCs w:val="28"/>
        </w:rPr>
        <w:t>日之前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各班级选举单位向筹备委员会报送</w:t>
      </w:r>
      <w:r>
        <w:rPr>
          <w:rFonts w:hint="eastAsia" w:ascii="仿宋" w:hAnsi="仿宋" w:eastAsia="仿宋"/>
          <w:b/>
          <w:sz w:val="28"/>
          <w:szCs w:val="28"/>
        </w:rPr>
        <w:t>学代会代表候选人预备人选</w:t>
      </w:r>
      <w:r>
        <w:rPr>
          <w:rFonts w:hint="eastAsia" w:ascii="仿宋" w:hAnsi="仿宋" w:eastAsia="仿宋"/>
          <w:sz w:val="28"/>
          <w:szCs w:val="28"/>
        </w:rPr>
        <w:t>名单</w:t>
      </w:r>
    </w:p>
    <w:p>
      <w:pPr>
        <w:snapToGrid w:val="0"/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【时间】5月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筹备委员会对各班级选举单位</w:t>
      </w:r>
      <w:r>
        <w:rPr>
          <w:rFonts w:hint="eastAsia" w:ascii="仿宋" w:hAnsi="仿宋" w:eastAsia="仿宋"/>
          <w:b/>
          <w:sz w:val="28"/>
          <w:szCs w:val="28"/>
        </w:rPr>
        <w:t>学代会代表候选人预备人选</w:t>
      </w:r>
      <w:r>
        <w:rPr>
          <w:rFonts w:hint="eastAsia" w:ascii="仿宋" w:hAnsi="仿宋" w:eastAsia="仿宋"/>
          <w:sz w:val="28"/>
          <w:szCs w:val="28"/>
        </w:rPr>
        <w:t>进行资格审查。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【时间】5月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下发对各班级选举单位</w:t>
      </w:r>
      <w:r>
        <w:rPr>
          <w:rFonts w:hint="eastAsia" w:ascii="仿宋" w:hAnsi="仿宋" w:eastAsia="仿宋"/>
          <w:b/>
          <w:sz w:val="28"/>
          <w:szCs w:val="28"/>
        </w:rPr>
        <w:t>学代会代表候选人</w:t>
      </w:r>
      <w:r>
        <w:rPr>
          <w:rFonts w:hint="eastAsia" w:ascii="仿宋" w:hAnsi="仿宋" w:eastAsia="仿宋"/>
          <w:sz w:val="28"/>
          <w:szCs w:val="28"/>
        </w:rPr>
        <w:t>名单的批复意见。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【时间】5月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b/>
          <w:bCs/>
          <w:sz w:val="28"/>
          <w:szCs w:val="28"/>
        </w:rPr>
        <w:t>日至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5月15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各班级选举单位自行召开会议选举</w:t>
      </w:r>
      <w:r>
        <w:rPr>
          <w:rFonts w:hint="eastAsia" w:ascii="仿宋" w:hAnsi="仿宋" w:eastAsia="仿宋"/>
          <w:b/>
          <w:sz w:val="28"/>
          <w:szCs w:val="28"/>
        </w:rPr>
        <w:t>学代会代表。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</w:rPr>
        <w:t>日之前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各班级选举单位上报</w:t>
      </w:r>
      <w:r>
        <w:rPr>
          <w:rFonts w:hint="eastAsia" w:ascii="仿宋" w:hAnsi="仿宋" w:eastAsia="仿宋"/>
          <w:b/>
          <w:sz w:val="28"/>
          <w:szCs w:val="28"/>
        </w:rPr>
        <w:t>学代会代表选举结果报告单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28"/>
          <w:szCs w:val="28"/>
        </w:rPr>
        <w:t>日至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筹备委员会对各班级单位选举产生的</w:t>
      </w:r>
      <w:r>
        <w:rPr>
          <w:rFonts w:hint="eastAsia" w:ascii="仿宋" w:hAnsi="仿宋" w:eastAsia="仿宋"/>
          <w:b/>
          <w:sz w:val="28"/>
          <w:szCs w:val="28"/>
        </w:rPr>
        <w:t>学代会代表</w:t>
      </w:r>
      <w:r>
        <w:rPr>
          <w:rFonts w:hint="eastAsia" w:ascii="仿宋" w:hAnsi="仿宋" w:eastAsia="仿宋"/>
          <w:sz w:val="28"/>
          <w:szCs w:val="28"/>
        </w:rPr>
        <w:t>进行资格审查。</w:t>
      </w:r>
    </w:p>
    <w:p>
      <w:pPr>
        <w:snapToGrid w:val="0"/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【时间】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b/>
          <w:bCs/>
          <w:sz w:val="28"/>
          <w:szCs w:val="28"/>
        </w:rPr>
        <w:t>日至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</w:p>
    <w:p>
      <w:pPr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下发</w:t>
      </w:r>
      <w:r>
        <w:rPr>
          <w:rFonts w:hint="eastAsia" w:ascii="仿宋" w:hAnsi="仿宋" w:eastAsia="仿宋"/>
          <w:b/>
          <w:sz w:val="28"/>
          <w:szCs w:val="28"/>
        </w:rPr>
        <w:t>学代会正式代表名单</w:t>
      </w:r>
      <w:r>
        <w:rPr>
          <w:rFonts w:hint="eastAsia" w:ascii="仿宋" w:hAnsi="仿宋" w:eastAsia="仿宋"/>
          <w:sz w:val="28"/>
          <w:szCs w:val="28"/>
        </w:rPr>
        <w:t>，组织填写学代会代表登记表。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宋体" w:hAnsi="宋体"/>
          <w:b/>
          <w:sz w:val="24"/>
        </w:rPr>
      </w:pPr>
      <w:r>
        <w:rPr>
          <w:rFonts w:hint="default" w:ascii="宋体" w:hAnsi="宋体"/>
          <w:b w:val="0"/>
          <w:bCs/>
          <w:sz w:val="22"/>
          <w:szCs w:val="22"/>
        </w:rPr>
        <w:t>附件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>3</w:t>
      </w:r>
      <w:r>
        <w:rPr>
          <w:rFonts w:hint="default" w:ascii="宋体" w:hAnsi="宋体"/>
          <w:b/>
          <w:sz w:val="24"/>
        </w:rPr>
        <w:t xml:space="preserve"> </w:t>
      </w:r>
    </w:p>
    <w:p>
      <w:pPr>
        <w:spacing w:line="360" w:lineRule="auto"/>
        <w:jc w:val="center"/>
        <w:rPr>
          <w:rFonts w:hint="default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合肥学院</w:t>
      </w:r>
      <w:r>
        <w:rPr>
          <w:rFonts w:hint="eastAsia" w:ascii="宋体" w:hAnsi="宋体"/>
          <w:b/>
          <w:sz w:val="24"/>
          <w:lang w:eastAsia="zh-CN"/>
        </w:rPr>
        <w:t>语言文化与传媒</w:t>
      </w:r>
      <w:r>
        <w:rPr>
          <w:rFonts w:hint="default" w:ascii="宋体" w:hAnsi="宋体"/>
          <w:b/>
          <w:sz w:val="24"/>
          <w:lang w:val="en-US" w:eastAsia="zh-CN"/>
        </w:rPr>
        <w:t>学院</w:t>
      </w:r>
      <w:r>
        <w:rPr>
          <w:rFonts w:hint="default" w:ascii="宋体" w:hAnsi="宋体"/>
          <w:b/>
          <w:sz w:val="24"/>
        </w:rPr>
        <w:t>第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default" w:ascii="宋体" w:hAnsi="宋体"/>
          <w:b/>
          <w:sz w:val="24"/>
        </w:rPr>
        <w:t>次学生代表大会</w:t>
      </w:r>
    </w:p>
    <w:p>
      <w:pPr>
        <w:spacing w:line="360" w:lineRule="auto"/>
        <w:jc w:val="center"/>
      </w:pPr>
      <w:r>
        <w:rPr>
          <w:rFonts w:hint="default" w:ascii="宋体" w:hAnsi="宋体"/>
          <w:b/>
          <w:sz w:val="24"/>
        </w:rPr>
        <w:t>代表候选人预备人选建议名单</w:t>
      </w:r>
    </w:p>
    <w:p>
      <w:pPr>
        <w:spacing w:line="360" w:lineRule="auto"/>
      </w:pPr>
      <w:r>
        <w:rPr>
          <w:rFonts w:hint="default" w:ascii="宋体" w:hAnsi="宋体"/>
          <w:sz w:val="24"/>
        </w:rPr>
        <w:t>选举单位：</w:t>
      </w:r>
      <w:r>
        <w:rPr>
          <w:rFonts w:hint="default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default" w:ascii="宋体" w:hAnsi="宋体"/>
          <w:sz w:val="24"/>
        </w:rPr>
        <w:t xml:space="preserve">         年  月  日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876"/>
        <w:gridCol w:w="1423"/>
        <w:gridCol w:w="1356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1" w:hanging="241" w:hangingChars="100"/>
              <w:jc w:val="center"/>
            </w:pPr>
            <w:r>
              <w:rPr>
                <w:rFonts w:hint="default" w:ascii="宋体" w:hAnsi="宋体"/>
                <w:b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b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b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1" w:hanging="241" w:hangingChars="1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b/>
                <w:sz w:val="24"/>
              </w:rPr>
              <w:t>年龄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b/>
                <w:sz w:val="24"/>
              </w:rPr>
              <w:t>年级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default" w:ascii="宋体" w:hAnsi="宋体"/>
                <w:b/>
                <w:sz w:val="24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</w:tr>
    </w:tbl>
    <w:p>
      <w:pPr>
        <w:ind w:firstLine="420" w:firstLineChars="200"/>
      </w:pPr>
      <w:r>
        <w:rPr>
          <w:rFonts w:hint="default" w:ascii="宋体" w:hAnsi="宋体"/>
          <w:color w:val="000000"/>
          <w:szCs w:val="21"/>
        </w:rPr>
        <w:t xml:space="preserve">注：1. 少数民族同志在姓名下加括号注明，例如：  </w:t>
      </w:r>
    </w:p>
    <w:p>
      <w:pPr>
        <w:ind w:firstLine="420" w:firstLineChars="200"/>
      </w:pPr>
      <w:r>
        <w:rPr>
          <w:rFonts w:hint="default" w:ascii="宋体" w:hAnsi="宋体"/>
          <w:color w:val="000000"/>
          <w:szCs w:val="21"/>
        </w:rPr>
        <w:t xml:space="preserve">    2.“年龄”栏中，应填写实际年龄（以20</w:t>
      </w:r>
      <w:r>
        <w:rPr>
          <w:rFonts w:hint="default" w:ascii="宋体" w:hAnsi="宋体"/>
          <w:color w:val="000000"/>
          <w:szCs w:val="21"/>
          <w:lang w:val="en-US" w:eastAsia="zh-CN"/>
        </w:rPr>
        <w:t>20</w:t>
      </w:r>
      <w:r>
        <w:rPr>
          <w:rFonts w:hint="default" w:ascii="宋体" w:hAnsi="宋体"/>
          <w:color w:val="000000"/>
          <w:szCs w:val="21"/>
        </w:rPr>
        <w:t>年1月1日为界）。计算方法：1月1日之前出生的，其实际年龄为20</w:t>
      </w:r>
      <w:r>
        <w:rPr>
          <w:rFonts w:hint="default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0</w:t>
      </w:r>
      <w:r>
        <w:rPr>
          <w:rFonts w:hint="default" w:ascii="宋体" w:hAnsi="宋体"/>
          <w:color w:val="000000"/>
          <w:szCs w:val="21"/>
          <w:lang w:val="en-US" w:eastAsia="zh-CN"/>
        </w:rPr>
        <w:t>-</w:t>
      </w:r>
      <w:r>
        <w:rPr>
          <w:rFonts w:hint="default" w:ascii="宋体" w:hAnsi="宋体"/>
          <w:color w:val="000000"/>
          <w:szCs w:val="21"/>
        </w:rPr>
        <w:t>出生年份；1月1日之后（含1月1日）出生的，其实际年龄为20</w:t>
      </w:r>
      <w:r>
        <w:rPr>
          <w:rFonts w:hint="default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0</w:t>
      </w:r>
      <w:r>
        <w:rPr>
          <w:rFonts w:hint="default" w:ascii="宋体" w:hAnsi="宋体"/>
          <w:color w:val="000000"/>
          <w:szCs w:val="21"/>
        </w:rPr>
        <w:t>-出生年份-1。</w:t>
      </w:r>
    </w:p>
    <w:p>
      <w:pPr>
        <w:ind w:firstLine="420" w:firstLineChars="200"/>
      </w:pPr>
      <w:r>
        <w:rPr>
          <w:rFonts w:hint="default" w:ascii="宋体" w:hAnsi="宋体"/>
          <w:color w:val="000000"/>
          <w:szCs w:val="21"/>
        </w:rPr>
        <w:t>4. “年级”栏中，填写其所在的年级，如：1</w:t>
      </w:r>
      <w:r>
        <w:rPr>
          <w:rFonts w:hint="default" w:ascii="宋体" w:hAnsi="宋体"/>
          <w:color w:val="000000"/>
          <w:szCs w:val="21"/>
          <w:lang w:val="en-US" w:eastAsia="zh-CN"/>
        </w:rPr>
        <w:t>5级</w:t>
      </w:r>
      <w:r>
        <w:rPr>
          <w:rFonts w:hint="default" w:ascii="宋体" w:hAnsi="宋体"/>
          <w:color w:val="000000"/>
          <w:szCs w:val="21"/>
        </w:rPr>
        <w:t>，1</w:t>
      </w:r>
      <w:r>
        <w:rPr>
          <w:rFonts w:hint="default" w:ascii="宋体" w:hAnsi="宋体"/>
          <w:color w:val="000000"/>
          <w:szCs w:val="21"/>
          <w:lang w:val="en-US" w:eastAsia="zh-CN"/>
        </w:rPr>
        <w:t>7级</w:t>
      </w:r>
      <w:r>
        <w:rPr>
          <w:rFonts w:hint="default" w:ascii="宋体" w:hAnsi="宋体"/>
          <w:color w:val="000000"/>
          <w:szCs w:val="21"/>
        </w:rPr>
        <w:t>。</w:t>
      </w:r>
    </w:p>
    <w:p>
      <w:pPr>
        <w:ind w:firstLine="420" w:firstLineChars="200"/>
      </w:pPr>
      <w:r>
        <w:rPr>
          <w:rFonts w:hint="default" w:ascii="宋体" w:hAnsi="宋体"/>
          <w:color w:val="000000"/>
          <w:szCs w:val="21"/>
        </w:rPr>
        <w:t>5. 本表复制有效。</w:t>
      </w:r>
    </w:p>
    <w:p>
      <w:pPr>
        <w:ind w:firstLine="420" w:firstLineChars="200"/>
      </w:pPr>
    </w:p>
    <w:p/>
    <w:p/>
    <w:p/>
    <w:p>
      <w:r>
        <w:rPr>
          <w:rFonts w:hint="default" w:ascii="宋体" w:hAnsi="宋体"/>
          <w:b w:val="0"/>
          <w:bCs/>
          <w:sz w:val="22"/>
          <w:szCs w:val="22"/>
        </w:rPr>
        <w:t>附件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>4</w:t>
      </w:r>
      <w:r>
        <w:rPr>
          <w:rFonts w:hint="default" w:ascii="宋体" w:hAnsi="宋体"/>
          <w:b/>
          <w:sz w:val="24"/>
        </w:rPr>
        <w:t xml:space="preserve"> 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学代会代表选举结果报告单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关于出席合肥学院</w:t>
      </w:r>
      <w:r>
        <w:rPr>
          <w:rFonts w:hint="eastAsia" w:ascii="宋体" w:hAnsi="宋体"/>
          <w:b/>
          <w:sz w:val="24"/>
          <w:lang w:val="en-US" w:eastAsia="zh-CN"/>
        </w:rPr>
        <w:t>语言文化与传媒</w:t>
      </w:r>
      <w:r>
        <w:rPr>
          <w:rFonts w:hint="eastAsia" w:ascii="宋体" w:hAnsi="宋体"/>
          <w:b/>
          <w:sz w:val="24"/>
        </w:rPr>
        <w:t>学院第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次学生代表大会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代表选举结果的报告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学代会筹备工作委员会：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我单位（班级）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出席合肥学院</w:t>
      </w:r>
      <w:r>
        <w:rPr>
          <w:rFonts w:hint="eastAsia" w:ascii="宋体" w:hAnsi="宋体"/>
          <w:sz w:val="24"/>
          <w:lang w:val="en-US" w:eastAsia="zh-CN"/>
        </w:rPr>
        <w:t>语言文化与传媒</w:t>
      </w:r>
      <w:r>
        <w:rPr>
          <w:rFonts w:hint="eastAsia" w:ascii="宋体" w:hAnsi="宋体"/>
          <w:sz w:val="24"/>
        </w:rPr>
        <w:t>学院第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次学生代表大会候选人预备人选建议名单及选举筹备方案经批复后，根据有关规定，我单位认真组织了代表选举工作。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我单位（班级）于202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日召开班级会议。会议应到同学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名，因事因病缺席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名，实到同学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名，超过应到代表总数的五分之四，会议有效。会议共发选票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张，收回选票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张，无效票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张。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根据我单位(班级)的代表名额及《合肥学院</w:t>
      </w:r>
      <w:r>
        <w:rPr>
          <w:rFonts w:hint="eastAsia" w:ascii="宋体" w:hAnsi="宋体"/>
          <w:sz w:val="24"/>
          <w:lang w:val="en-US" w:eastAsia="zh-CN"/>
        </w:rPr>
        <w:t>语言文化与传媒</w:t>
      </w:r>
      <w:r>
        <w:rPr>
          <w:rFonts w:hint="eastAsia" w:ascii="宋体" w:hAnsi="宋体"/>
          <w:sz w:val="24"/>
        </w:rPr>
        <w:t>学院第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次学生代表大会代表产生办法》，会议确认我单位出席合肥学院</w:t>
      </w:r>
      <w:r>
        <w:rPr>
          <w:rFonts w:hint="eastAsia" w:ascii="宋体" w:hAnsi="宋体"/>
          <w:sz w:val="24"/>
          <w:lang w:val="en-US" w:eastAsia="zh-CN"/>
        </w:rPr>
        <w:t>语言文化与传媒</w:t>
      </w:r>
      <w:r>
        <w:rPr>
          <w:rFonts w:hint="eastAsia" w:ascii="宋体" w:hAnsi="宋体"/>
          <w:sz w:val="24"/>
        </w:rPr>
        <w:t>学院第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次学生代表大会的代表是: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876"/>
        <w:gridCol w:w="1423"/>
        <w:gridCol w:w="1356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41" w:hanging="241" w:hanging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</w:pPr>
    </w:p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left"/>
        <w:rPr>
          <w:rFonts w:hint="default" w:ascii="宋体" w:hAnsi="宋体"/>
          <w:b/>
          <w:sz w:val="24"/>
          <w:szCs w:val="24"/>
        </w:rPr>
      </w:pPr>
      <w:r>
        <w:rPr>
          <w:rFonts w:hint="default" w:ascii="宋体" w:hAnsi="宋体"/>
          <w:b w:val="0"/>
          <w:bCs/>
          <w:sz w:val="22"/>
          <w:szCs w:val="22"/>
        </w:rPr>
        <w:t>附件</w:t>
      </w: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>5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合肥学院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语言文化与传媒</w:t>
      </w:r>
      <w:r>
        <w:rPr>
          <w:rFonts w:hint="eastAsia" w:ascii="仿宋" w:hAnsi="仿宋" w:eastAsia="仿宋"/>
          <w:b/>
          <w:sz w:val="36"/>
          <w:szCs w:val="36"/>
        </w:rPr>
        <w:t>学院第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/>
          <w:b/>
          <w:sz w:val="36"/>
          <w:szCs w:val="36"/>
        </w:rPr>
        <w:t>次学生代表大会代表登记表</w:t>
      </w:r>
    </w:p>
    <w:p>
      <w:pPr>
        <w:adjustRightInd w:val="0"/>
        <w:snapToGrid w:val="0"/>
        <w:rPr>
          <w:rFonts w:ascii="仿宋" w:hAnsi="仿宋" w:eastAsia="仿宋"/>
          <w:sz w:val="18"/>
          <w:szCs w:val="18"/>
        </w:rPr>
      </w:pPr>
    </w:p>
    <w:tbl>
      <w:tblPr>
        <w:tblStyle w:val="7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850"/>
        <w:gridCol w:w="992"/>
        <w:gridCol w:w="1418"/>
        <w:gridCol w:w="163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籍贯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班级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曾任及现任职务</w:t>
            </w:r>
          </w:p>
        </w:tc>
        <w:tc>
          <w:tcPr>
            <w:tcW w:w="8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获奖评优（或参与组织活动情况）</w:t>
            </w:r>
          </w:p>
        </w:tc>
        <w:tc>
          <w:tcPr>
            <w:tcW w:w="8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选举单位（班级）意见</w:t>
            </w:r>
          </w:p>
        </w:tc>
        <w:tc>
          <w:tcPr>
            <w:tcW w:w="8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签（章）</w:t>
            </w:r>
          </w:p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筹备委员会意见</w:t>
            </w:r>
          </w:p>
        </w:tc>
        <w:tc>
          <w:tcPr>
            <w:tcW w:w="8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签（章）</w:t>
            </w:r>
          </w:p>
          <w:p>
            <w:pPr>
              <w:adjustRightInd w:val="0"/>
              <w:snapToGrid w:val="0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93414B"/>
    <w:rsid w:val="0AE85A29"/>
    <w:rsid w:val="0C8622B5"/>
    <w:rsid w:val="118F2233"/>
    <w:rsid w:val="11A5047D"/>
    <w:rsid w:val="1AB503D6"/>
    <w:rsid w:val="23CB32B4"/>
    <w:rsid w:val="2F514FB8"/>
    <w:rsid w:val="334C3D76"/>
    <w:rsid w:val="34EE62D1"/>
    <w:rsid w:val="3B842468"/>
    <w:rsid w:val="3EE03B85"/>
    <w:rsid w:val="45E7086B"/>
    <w:rsid w:val="46971BE9"/>
    <w:rsid w:val="4782053C"/>
    <w:rsid w:val="49E21FDC"/>
    <w:rsid w:val="4A48474B"/>
    <w:rsid w:val="4E805E46"/>
    <w:rsid w:val="4EC37D7A"/>
    <w:rsid w:val="571A56A8"/>
    <w:rsid w:val="5B383C6F"/>
    <w:rsid w:val="628165B8"/>
    <w:rsid w:val="63735A3C"/>
    <w:rsid w:val="65E410A3"/>
    <w:rsid w:val="6EC06A45"/>
    <w:rsid w:val="757C2C17"/>
    <w:rsid w:val="75D130C0"/>
    <w:rsid w:val="78CC4062"/>
    <w:rsid w:val="7ABE6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widowControl w:val="0"/>
      <w:spacing w:before="0" w:after="0"/>
      <w:ind w:left="100" w:leftChars="2500" w:right="0"/>
      <w:jc w:val="both"/>
    </w:pPr>
    <w:rPr>
      <w:rFonts w:ascii="仿宋_GB2312" w:eastAsia="仿宋_GB2312"/>
      <w:kern w:val="2"/>
      <w:sz w:val="24"/>
      <w:szCs w:val="24"/>
      <w:lang w:val="en-US" w:eastAsia="zh-CN" w:bidi="ar-SA"/>
    </w:rPr>
  </w:style>
  <w:style w:type="paragraph" w:styleId="3">
    <w:name w:val="Body Text Indent 2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宋体" w:hAnsi="宋体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widowControl w:val="0"/>
      <w:spacing w:after="0" w:line="360" w:lineRule="auto"/>
      <w:ind w:firstLine="480" w:firstLineChars="200"/>
      <w:jc w:val="both"/>
    </w:pPr>
    <w:rPr>
      <w:rFonts w:ascii="宋体" w:hAnsi="宋体"/>
      <w:kern w:val="2"/>
      <w:sz w:val="24"/>
      <w:szCs w:val="24"/>
      <w:lang w:val="en-US" w:eastAsia="zh-CN" w:bidi="ar-SA"/>
    </w:r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2240</Words>
  <Characters>2342</Characters>
  <Paragraphs>706</Paragraphs>
  <TotalTime>6</TotalTime>
  <ScaleCrop>false</ScaleCrop>
  <LinksUpToDate>false</LinksUpToDate>
  <CharactersWithSpaces>2665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2021-05-01T12:14:00Z</dcterms:created>
  <dc:creator>ANG-AN00</dc:creator>
  <cp:lastModifiedBy>筱雨悠然</cp:lastModifiedBy>
  <dcterms:modified xsi:type="dcterms:W3CDTF">2022-05-05T04:46:22Z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2C9AA0C4687340ADA11C14F402194BCD</vt:lpwstr>
  </property>
  <property fmtid="{D5CDD505-2E9C-101B-9397-08002B2CF9AE}" pid="3" name="KSOProductBuildVer">
    <vt:lpwstr>2052-11.1.0.11636</vt:lpwstr>
  </property>
</Properties>
</file>