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D20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A872B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EB11DE7">
      <w:pPr>
        <w:spacing w:after="0" w:line="360" w:lineRule="auto"/>
        <w:ind w:left="0" w:firstLine="0"/>
        <w:jc w:val="center"/>
        <w:rPr>
          <w:rFonts w:ascii="方正小标宋简体" w:eastAsia="方正小标宋简体"/>
        </w:rPr>
      </w:pPr>
      <w:r>
        <w:rPr>
          <w:rFonts w:hint="eastAsia" w:ascii="方正小标宋简体" w:hAnsi="微软雅黑" w:eastAsia="方正小标宋简体" w:cs="微软雅黑"/>
          <w:sz w:val="72"/>
          <w:lang w:val="en-US" w:eastAsia="zh-CN"/>
        </w:rPr>
        <w:t>比</w:t>
      </w:r>
      <w:r>
        <w:rPr>
          <w:rFonts w:hint="eastAsia" w:ascii="方正小标宋简体" w:hAnsi="微软雅黑" w:eastAsia="方正小标宋简体" w:cs="微软雅黑"/>
          <w:sz w:val="72"/>
        </w:rPr>
        <w:t>价文件</w:t>
      </w:r>
    </w:p>
    <w:p w14:paraId="5EA86625">
      <w:pPr>
        <w:spacing w:after="0" w:line="360" w:lineRule="auto"/>
        <w:ind w:left="0" w:firstLine="0"/>
        <w:rPr>
          <w:rFonts w:ascii="黑体" w:hAnsi="黑体" w:eastAsia="黑体" w:cs="黑体"/>
          <w:sz w:val="36"/>
        </w:rPr>
      </w:pPr>
    </w:p>
    <w:p w14:paraId="5B6E1A6F">
      <w:pPr>
        <w:spacing w:after="0" w:line="360" w:lineRule="auto"/>
        <w:ind w:left="0" w:firstLine="0"/>
        <w:jc w:val="center"/>
        <w:rPr>
          <w:rFonts w:hint="eastAsia" w:ascii="黑体" w:hAnsi="黑体" w:eastAsia="黑体" w:cs="黑体"/>
          <w:sz w:val="32"/>
          <w:szCs w:val="21"/>
          <w:lang w:val="en-US" w:eastAsia="zh-CN"/>
        </w:rPr>
      </w:pPr>
      <w:r>
        <w:rPr>
          <w:rFonts w:ascii="黑体" w:hAnsi="黑体" w:eastAsia="黑体" w:cs="黑体"/>
          <w:sz w:val="36"/>
        </w:rPr>
        <w:t>项目名称：</w:t>
      </w:r>
      <w:r>
        <w:rPr>
          <w:rFonts w:hint="eastAsia" w:ascii="黑体" w:hAnsi="黑体" w:eastAsia="黑体" w:cs="黑体"/>
          <w:sz w:val="36"/>
        </w:rPr>
        <w:t>2026年校园部分区域监控设备升级项目</w:t>
      </w:r>
    </w:p>
    <w:p w14:paraId="305BEFF6">
      <w:pPr>
        <w:spacing w:after="0" w:line="360" w:lineRule="auto"/>
        <w:ind w:left="0" w:firstLine="0"/>
        <w:jc w:val="center"/>
        <w:rPr>
          <w:rFonts w:ascii="黑体" w:hAnsi="黑体" w:eastAsia="黑体" w:cs="黑体"/>
          <w:sz w:val="48"/>
        </w:rPr>
      </w:pPr>
    </w:p>
    <w:p w14:paraId="3D484CD7">
      <w:pPr>
        <w:spacing w:after="0" w:line="360" w:lineRule="auto"/>
        <w:ind w:left="0" w:firstLine="0"/>
        <w:jc w:val="center"/>
        <w:rPr>
          <w:rFonts w:ascii="黑体" w:hAnsi="黑体" w:eastAsia="黑体" w:cs="黑体"/>
          <w:sz w:val="48"/>
        </w:rPr>
      </w:pPr>
    </w:p>
    <w:p w14:paraId="3BE7F387">
      <w:pPr>
        <w:spacing w:after="0" w:line="360" w:lineRule="auto"/>
        <w:ind w:left="0" w:firstLine="0"/>
        <w:jc w:val="center"/>
        <w:rPr>
          <w:rFonts w:ascii="黑体" w:hAnsi="黑体" w:eastAsia="黑体" w:cs="黑体"/>
          <w:sz w:val="48"/>
        </w:rPr>
      </w:pPr>
    </w:p>
    <w:p w14:paraId="078D3351">
      <w:pPr>
        <w:spacing w:after="0" w:line="360" w:lineRule="auto"/>
        <w:ind w:left="0" w:firstLine="0"/>
        <w:jc w:val="center"/>
        <w:rPr>
          <w:rFonts w:ascii="黑体" w:hAnsi="黑体" w:eastAsia="黑体" w:cs="黑体"/>
          <w:sz w:val="48"/>
        </w:rPr>
      </w:pPr>
    </w:p>
    <w:p w14:paraId="6475353D">
      <w:pPr>
        <w:spacing w:after="0" w:line="360" w:lineRule="auto"/>
        <w:ind w:left="0" w:firstLine="0"/>
        <w:jc w:val="center"/>
        <w:rPr>
          <w:rFonts w:ascii="黑体" w:hAnsi="黑体" w:eastAsia="黑体" w:cs="黑体"/>
          <w:sz w:val="48"/>
        </w:rPr>
      </w:pPr>
    </w:p>
    <w:p w14:paraId="74727AF5">
      <w:pPr>
        <w:spacing w:after="0" w:line="360" w:lineRule="auto"/>
        <w:ind w:left="0" w:firstLine="0"/>
        <w:jc w:val="center"/>
      </w:pPr>
      <w:r>
        <w:rPr>
          <w:rFonts w:hint="eastAsia" w:ascii="黑体" w:hAnsi="黑体" w:eastAsia="黑体" w:cs="黑体"/>
          <w:sz w:val="48"/>
        </w:rPr>
        <w:t>合肥</w:t>
      </w:r>
      <w:r>
        <w:rPr>
          <w:rFonts w:hint="eastAsia" w:ascii="黑体" w:hAnsi="黑体" w:eastAsia="黑体" w:cs="黑体"/>
          <w:sz w:val="48"/>
          <w:lang w:val="en-US" w:eastAsia="zh-CN"/>
        </w:rPr>
        <w:t>大学保卫</w:t>
      </w:r>
      <w:r>
        <w:rPr>
          <w:rFonts w:hint="eastAsia" w:ascii="黑体" w:hAnsi="黑体" w:eastAsia="黑体" w:cs="黑体"/>
          <w:sz w:val="48"/>
        </w:rPr>
        <w:t>处</w:t>
      </w:r>
    </w:p>
    <w:p w14:paraId="4BA558E3">
      <w:pPr>
        <w:spacing w:after="0" w:line="360" w:lineRule="auto"/>
        <w:ind w:left="0" w:firstLine="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ascii="黑体" w:hAnsi="黑体" w:eastAsia="黑体" w:cs="黑体"/>
          <w:sz w:val="44"/>
          <w:szCs w:val="44"/>
        </w:rPr>
        <w:t>年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10</w:t>
      </w:r>
      <w:r>
        <w:rPr>
          <w:rFonts w:ascii="黑体" w:hAnsi="黑体" w:eastAsia="黑体" w:cs="黑体"/>
          <w:sz w:val="44"/>
          <w:szCs w:val="44"/>
        </w:rPr>
        <w:t>月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10</w:t>
      </w:r>
      <w:r>
        <w:rPr>
          <w:rFonts w:ascii="黑体" w:hAnsi="黑体" w:eastAsia="黑体" w:cs="黑体"/>
          <w:sz w:val="44"/>
          <w:szCs w:val="44"/>
        </w:rPr>
        <w:t>日</w:t>
      </w:r>
    </w:p>
    <w:p w14:paraId="51EED644">
      <w:pPr>
        <w:spacing w:after="0" w:line="360" w:lineRule="auto"/>
        <w:ind w:left="0" w:firstLine="0"/>
        <w:jc w:val="center"/>
        <w:rPr>
          <w:rFonts w:ascii="黑体" w:hAnsi="黑体" w:eastAsia="黑体"/>
          <w:sz w:val="44"/>
          <w:szCs w:val="44"/>
        </w:rPr>
        <w:sectPr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6F62A058">
      <w:pPr>
        <w:spacing w:after="0" w:line="360" w:lineRule="auto"/>
        <w:ind w:left="0" w:firstLine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44"/>
          <w:szCs w:val="44"/>
        </w:rPr>
        <w:t>第一部分 采购邀请</w:t>
      </w:r>
      <w:r>
        <w:rPr>
          <w:rFonts w:hint="eastAsia" w:ascii="黑体" w:hAnsi="黑体" w:eastAsia="黑体"/>
          <w:sz w:val="44"/>
          <w:szCs w:val="44"/>
          <w:lang w:eastAsia="zh-CN"/>
        </w:rPr>
        <w:t xml:space="preserve">  </w:t>
      </w:r>
    </w:p>
    <w:p w14:paraId="56F7DDC0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22"/>
        </w:rPr>
      </w:pP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22"/>
        </w:rPr>
        <w:t>项目</w:t>
      </w: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 xml:space="preserve">简介  </w:t>
      </w:r>
    </w:p>
    <w:p w14:paraId="016EB9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根据合肥大学保卫处工作安排，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现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开展合肥大学2026年校园部分区域监控设备升级项目，对校园部分区域室外监控进行维修、升级，并新增部分监控，统一纳入校园安全管理平台。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</w:p>
    <w:p w14:paraId="7CFFD1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项目预算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8.3万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元，本次采购采用比价方式，以有效单价最低者中标。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</w:p>
    <w:p w14:paraId="5A3A9F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施工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工期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为30天，合同签订后30天内完成项目，并负责一年的维护工作，对主要产品提供一年免费质保。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</w:p>
    <w:p w14:paraId="5BC821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二、项目需求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  </w:t>
      </w:r>
    </w:p>
    <w:p w14:paraId="7A18C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bookmarkStart w:id="0" w:name="OLE_LINK8"/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对校园部分区域现有监控系统进行检测、维修，恢复使用功能，并纳入校园安全管理平台。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</w:p>
    <w:p w14:paraId="6609FA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对校园部分监控设备进行更换，提升使用效果，并纳入校园安全管理平台。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</w:p>
    <w:p w14:paraId="337186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对校园部分区域增加监控设备，并纳入校园安全管理平台。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</w:p>
    <w:bookmarkEnd w:id="0"/>
    <w:p w14:paraId="3357A5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 学校现有监控系统为海康威视系统，供应商提供的产品应能够接入现有系统并正常使用。</w:t>
      </w:r>
    </w:p>
    <w:p w14:paraId="1FA70B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报价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包含原设备拆除、产品原价、税费、运输费、安装调试费、售后服务费等所有相关费用，为最终含税落地价，采购人不再额外支付任何费用。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 </w:t>
      </w:r>
    </w:p>
    <w:p w14:paraId="6D56BF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具体需求内容见项目清单。  </w:t>
      </w:r>
    </w:p>
    <w:p w14:paraId="1E0803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24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24"/>
        </w:rPr>
        <w:t>三、供应商资格条件</w:t>
      </w:r>
      <w:r>
        <w:rPr>
          <w:rFonts w:hint="eastAsia" w:ascii="Times New Roman" w:hAnsi="Times New Roman" w:eastAsia="黑体" w:cs="Times New Roman"/>
          <w:sz w:val="32"/>
          <w:szCs w:val="24"/>
          <w:lang w:eastAsia="zh-CN"/>
        </w:rPr>
        <w:t xml:space="preserve">  </w:t>
      </w:r>
    </w:p>
    <w:p w14:paraId="67402E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1. 符合《中华人民共和国政府采购法》第二十二条规定。  </w:t>
      </w:r>
    </w:p>
    <w:p w14:paraId="7CA1EC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2. 单位负责人为同一人或者存在直接控股、管理关系的不同供应商，不得参与此次采购活动。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 </w:t>
      </w:r>
    </w:p>
    <w:p w14:paraId="64A7C6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3. 供应商成交后不得将成交项目分包或转让给其他主体实施。  </w:t>
      </w:r>
    </w:p>
    <w:p w14:paraId="051B68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、验收与技术培训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</w:p>
    <w:p w14:paraId="71AEF9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供应商完成设备安装、调试，并接入校园安全管理平台正常使用后，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按照法定验收标准和程序进行验收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，验收通过后一次性付款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 </w:t>
      </w:r>
    </w:p>
    <w:p w14:paraId="08B396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供应商应提供相应的免费技术培训，培训内容至少包括：设备原理、使用、维护、运行操作、常见故障处理等</w:t>
      </w:r>
      <w:r>
        <w:rPr>
          <w:rFonts w:hint="eastAsia" w:ascii="Times New Roman" w:hAnsi="Times New Roman" w:eastAsia="仿宋_GB2312" w:cs="Times New Roman"/>
          <w:lang w:val="en-US" w:eastAsia="zh-CN"/>
        </w:rPr>
        <w:t xml:space="preserve">。  </w:t>
      </w:r>
    </w:p>
    <w:p w14:paraId="2AC548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、获取比价响应文件提交方式、地点及时间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</w:p>
    <w:p w14:paraId="7A4D0C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有意参与此次采购活动的供应商，可在合肥大学保卫处网站下载比价文件，并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通过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现场递交方式将比价响应文件提交给采购人。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 </w:t>
      </w:r>
    </w:p>
    <w:p w14:paraId="0AE9F7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获取时间：2026年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日至2026年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 </w:t>
      </w:r>
    </w:p>
    <w:p w14:paraId="7CE243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接收地点：合肥市锦绣大道99号合肥大学保卫处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 </w:t>
      </w:r>
    </w:p>
    <w:p w14:paraId="3CE7A2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接收人：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丁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老师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 电话：0551-62158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043  </w:t>
      </w:r>
    </w:p>
    <w:p w14:paraId="0713D5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提交截止时间：2026年10月15日17:00（北京时间），逾期拒收。</w:t>
      </w:r>
      <w:bookmarkStart w:id="1" w:name="_GoBack"/>
      <w:bookmarkEnd w:id="1"/>
    </w:p>
    <w:p w14:paraId="5166DA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、比价响应文件有关情况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</w:p>
    <w:p w14:paraId="5433C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 xml:space="preserve">1. 比价响应文件开启及评审时间：2026年10月16日上午9:00。  </w:t>
      </w:r>
    </w:p>
    <w:p w14:paraId="74E246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2. 比价响应文件开启及评审地点：合肥市经济技术开发区锦绣大道99号合肥大学保卫处。</w:t>
      </w:r>
    </w:p>
    <w:p w14:paraId="66AC0C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420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</w:p>
    <w:p w14:paraId="0F66C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</w:rPr>
      </w:pPr>
    </w:p>
    <w:p w14:paraId="4BDC8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2"/>
          <w:cols w:space="425" w:num="1"/>
          <w:docGrid w:type="lines" w:linePitch="312" w:charSpace="0"/>
        </w:sectPr>
      </w:pPr>
    </w:p>
    <w:p w14:paraId="3EFE1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</w:rPr>
        <w:t>合肥大学2026年校园部分区域监控设备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升级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40"/>
          <w:lang w:val="en-US" w:eastAsia="zh-CN"/>
        </w:rPr>
        <w:t>清单</w:t>
      </w:r>
    </w:p>
    <w:p w14:paraId="1270C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三期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监控设备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升级</w:t>
      </w:r>
    </w:p>
    <w:p w14:paraId="1B180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目前三期监控系统中部分室外监控电源适配器、交换机、光端机已老化，存在供电及网络不稳定的情况，部分立杆及背包箱锈蚀严重，导致部分监控点位出现间歇性断电、画面中断等问题，需对相关设备进行更换与升级改造。</w:t>
      </w:r>
    </w:p>
    <w:p w14:paraId="319DE9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表1  三期监控损坏情况一览表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405"/>
        <w:gridCol w:w="2277"/>
        <w:gridCol w:w="3136"/>
      </w:tblGrid>
      <w:tr w14:paraId="543D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F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9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背包箱情况</w:t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C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背包箱内设备状态</w:t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设备状况</w:t>
            </w:r>
          </w:p>
        </w:tc>
      </w:tr>
      <w:tr w14:paraId="06D72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9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A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66825" cy="1447800"/>
                  <wp:effectExtent l="0" t="0" r="9525" b="0"/>
                  <wp:docPr id="1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9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066800" cy="1428750"/>
                  <wp:effectExtent l="0" t="0" r="0" b="0"/>
                  <wp:docPr id="2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4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收发器损坏，交换机部分端口损坏，锈蚀比较严重，防水背包箱背后孔洞没有封堵下雨进水导致设备受潮。背包箱是铁皮材质，锈蚀比较严重。8口交换1台，收发器1台。</w:t>
            </w:r>
          </w:p>
        </w:tc>
      </w:tr>
      <w:tr w14:paraId="4CE57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F0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0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76350" cy="1476375"/>
                  <wp:effectExtent l="0" t="0" r="0" b="9525"/>
                  <wp:docPr id="18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6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33475" cy="1524000"/>
                  <wp:effectExtent l="0" t="0" r="9525" b="0"/>
                  <wp:docPr id="8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A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收发器损坏，交换机部分端口损坏，锈蚀比较严重，防水背包箱背后孔洞没有封堵下雨进水导致设备受潮。背包箱是铁皮材质，锈蚀比较严重。8口交换1台，收发器1台。</w:t>
            </w:r>
          </w:p>
        </w:tc>
      </w:tr>
      <w:tr w14:paraId="1D981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8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9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90625" cy="1562100"/>
                  <wp:effectExtent l="0" t="0" r="9525" b="0"/>
                  <wp:docPr id="16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6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81100" cy="1581150"/>
                  <wp:effectExtent l="0" t="0" r="0" b="0"/>
                  <wp:docPr id="9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68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收发器损坏，交换机部分端口损坏，锈蚀比较严重，防水背包箱背后孔洞没有封堵下雨进水导致设备受潮。背包箱是铁皮材质，锈蚀比较严重。8口交换1台，收发器1台。</w:t>
            </w:r>
          </w:p>
        </w:tc>
      </w:tr>
      <w:tr w14:paraId="7CF08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B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D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552575"/>
                  <wp:effectExtent l="0" t="0" r="9525" b="9525"/>
                  <wp:docPr id="19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4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62050" cy="1552575"/>
                  <wp:effectExtent l="0" t="0" r="0" b="9525"/>
                  <wp:docPr id="14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3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收发器损坏，交换机部分端口损坏，锈蚀比较严重，防水背包箱背后孔洞没有封堵下雨进水导致设备受潮。背包箱是铁皮材质，锈蚀比较严重。8口交换1台，收发器1台。</w:t>
            </w:r>
          </w:p>
        </w:tc>
      </w:tr>
      <w:tr w14:paraId="6CD66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76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79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66825" cy="1562100"/>
                  <wp:effectExtent l="0" t="0" r="9525" b="0"/>
                  <wp:docPr id="10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6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81100" cy="1581150"/>
                  <wp:effectExtent l="0" t="0" r="0" b="0"/>
                  <wp:docPr id="17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88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收发器损坏，交换机部分端口损坏，锈蚀比较严重，防水背包箱背后孔洞没有封堵下雨进水导致设备受潮。背包箱是铁皮材质，锈蚀比较严重。8口交换1台，收发器1台。</w:t>
            </w:r>
          </w:p>
        </w:tc>
      </w:tr>
      <w:tr w14:paraId="675F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B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7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66825" cy="1590675"/>
                  <wp:effectExtent l="0" t="0" r="9525" b="9525"/>
                  <wp:docPr id="15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9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90625" cy="1590675"/>
                  <wp:effectExtent l="0" t="0" r="9525" b="9525"/>
                  <wp:docPr id="21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2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</w:t>
            </w:r>
          </w:p>
        </w:tc>
      </w:tr>
      <w:tr w14:paraId="1A849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4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A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552575"/>
                  <wp:effectExtent l="0" t="0" r="9525" b="9525"/>
                  <wp:docPr id="12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D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81100" cy="1571625"/>
                  <wp:effectExtent l="0" t="0" r="0" b="9525"/>
                  <wp:docPr id="11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0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汇聚交换机可以使用，收发器损坏。16口汇聚一台收发器3台。</w:t>
            </w:r>
          </w:p>
        </w:tc>
      </w:tr>
      <w:tr w14:paraId="39C42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5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F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66825" cy="1609725"/>
                  <wp:effectExtent l="0" t="0" r="9525" b="9525"/>
                  <wp:docPr id="22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A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81100" cy="1581150"/>
                  <wp:effectExtent l="0" t="0" r="0" b="0"/>
                  <wp:docPr id="23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收发器损坏，交换机部分端口损坏，锈蚀比较严重，防水背包箱背后孔洞没有封堵下雨进水导致设备受潮。背包箱是铁皮材质，锈蚀比较严重。8口交换1台，收发器1台。</w:t>
            </w:r>
          </w:p>
        </w:tc>
      </w:tr>
      <w:tr w14:paraId="08AA4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D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1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562100"/>
                  <wp:effectExtent l="0" t="0" r="9525" b="0"/>
                  <wp:docPr id="24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E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71575" cy="1571625"/>
                  <wp:effectExtent l="0" t="0" r="9525" b="9525"/>
                  <wp:docPr id="25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4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汇聚交换机可以使用，收发器损坏。收发器1台。</w:t>
            </w:r>
          </w:p>
        </w:tc>
      </w:tr>
      <w:tr w14:paraId="6BF95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2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4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1619250"/>
                  <wp:effectExtent l="0" t="0" r="0" b="0"/>
                  <wp:docPr id="26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24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190625" cy="1600200"/>
                  <wp:effectExtent l="0" t="0" r="9525" b="0"/>
                  <wp:docPr id="27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FE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收发器损坏，交换机部分端口损坏，锈蚀比较严重，防水背包箱背后孔洞没有封堵下雨进水导致设备受潮。背包箱是铁皮材质，锈蚀比较严重。8口交换1台，收发器1台。收发器损坏。</w:t>
            </w:r>
          </w:p>
        </w:tc>
      </w:tr>
      <w:tr w14:paraId="58A22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7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0F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47775" cy="1581150"/>
                  <wp:effectExtent l="0" t="0" r="9525" b="0"/>
                  <wp:docPr id="7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1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1609725"/>
                  <wp:effectExtent l="0" t="0" r="0" b="9525"/>
                  <wp:docPr id="1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D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收发器损坏，交换机部分端口损坏，锈蚀比较严重，防水背包箱背后孔洞没有封堵下雨进水导致设备受潮。背包箱是铁皮材质，锈蚀比较严重。8口交换1台，收发器2台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11D43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E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1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47775" cy="1647825"/>
                  <wp:effectExtent l="0" t="0" r="9525" b="9525"/>
                  <wp:docPr id="3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08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1619250"/>
                  <wp:effectExtent l="0" t="0" r="9525" b="0"/>
                  <wp:docPr id="2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收发器损坏，交换机部分端口损坏，锈蚀比较严重，防水背包箱背后孔洞没有封堵下雨进水导致设备受潮。背包箱是铁皮材质，锈蚀比较严重。8口交换1台，已损坏。</w:t>
            </w:r>
          </w:p>
        </w:tc>
      </w:tr>
      <w:tr w14:paraId="42D52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8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9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1609725"/>
                  <wp:effectExtent l="0" t="0" r="0" b="9525"/>
                  <wp:docPr id="28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7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1609725"/>
                  <wp:effectExtent l="0" t="0" r="0" b="9525"/>
                  <wp:docPr id="6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9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收发器损坏，交换机部分端口损坏，锈蚀比较严重，防水背包箱背后孔洞没有封堵下雨进水导致设备受潮。背包箱是铁皮材质，锈蚀比较严重。已经损坏。</w:t>
            </w:r>
          </w:p>
        </w:tc>
      </w:tr>
      <w:tr w14:paraId="2C854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6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0F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47775" cy="1628775"/>
                  <wp:effectExtent l="0" t="0" r="9525" b="9525"/>
                  <wp:docPr id="5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2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1628775"/>
                  <wp:effectExtent l="0" t="0" r="9525" b="9525"/>
                  <wp:docPr id="4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收发器损坏，交换机部分端口损坏，锈蚀比较严重，防水背包箱背后孔洞没有封堵下雨进水导致设备受潮。背包箱是铁皮材质，锈蚀比较严重。8口交换1台，收发器1台，收发器损坏。</w:t>
            </w:r>
          </w:p>
        </w:tc>
      </w:tr>
      <w:tr w14:paraId="28F99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9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7E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66825" cy="1666875"/>
                  <wp:effectExtent l="0" t="0" r="9525" b="9525"/>
                  <wp:docPr id="30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7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56515</wp:posOffset>
                  </wp:positionV>
                  <wp:extent cx="1210945" cy="1666875"/>
                  <wp:effectExtent l="0" t="0" r="8255" b="9525"/>
                  <wp:wrapNone/>
                  <wp:docPr id="32" name="图片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_5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94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8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收发器损坏，交换机部分端口损坏，锈蚀比较严重，防水背包箱背后孔洞没有封堵下雨进水导致设备受潮。背包箱是铁皮材质，锈蚀比较严重。8口交换1台，损坏。</w:t>
            </w:r>
          </w:p>
        </w:tc>
      </w:tr>
      <w:tr w14:paraId="0A4C6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C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0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47775" cy="1647825"/>
                  <wp:effectExtent l="0" t="0" r="9525" b="9525"/>
                  <wp:docPr id="29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B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219200" cy="1638300"/>
                  <wp:effectExtent l="0" t="0" r="0" b="0"/>
                  <wp:docPr id="31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D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收发器损坏，交换机部分端口损坏，锈蚀比较严重，防水背包箱背后孔洞没有封堵下雨进水导致设备受潮。背包箱是铁皮材质，锈蚀比较严重。8口交换1台，损坏。</w:t>
            </w:r>
          </w:p>
        </w:tc>
      </w:tr>
    </w:tbl>
    <w:p w14:paraId="58BCBC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114C15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default" w:ascii="黑体" w:hAnsi="黑体" w:eastAsia="黑体" w:cs="黑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 w:bidi="ar-SA"/>
        </w:rPr>
        <w:t>二、校园主要出入口监控设备升级</w:t>
      </w:r>
    </w:p>
    <w:p w14:paraId="232F10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1.一区东门：东门南侧增加2个壁装高清智能变焦摄像机，1个朝内、1个朝外。</w:t>
      </w:r>
    </w:p>
    <w:p w14:paraId="65E9A2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 xml:space="preserve">2.一区南门：将原6台老化效果差的摄像机全部更换为高清智能变焦摄像机，4台朝内、2台朝外。 </w:t>
      </w:r>
    </w:p>
    <w:p w14:paraId="4035B1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3.二区北2门：将原2台老化效果差的摄像机全部更换为高清智能变焦摄像机（含更换2个立杆），新增2台高清智能变焦摄像机（1台装在入口处墙面、1台吊装在出口处屋顶），全部朝外。</w:t>
      </w:r>
    </w:p>
    <w:p w14:paraId="26E5C7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4.二期北1门：更换1台摄像机，朝外。</w:t>
      </w:r>
    </w:p>
    <w:p w14:paraId="4D271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</w:pPr>
    </w:p>
    <w:p w14:paraId="149D3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039995" cy="3517900"/>
            <wp:effectExtent l="0" t="0" r="1905" b="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rcRect t="2175" b="95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649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图1 一区东门、南门监控点位图</w:t>
      </w:r>
    </w:p>
    <w:p w14:paraId="2E5522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52D0B0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5039995" cy="2719705"/>
            <wp:effectExtent l="0" t="0" r="1905" b="10795"/>
            <wp:docPr id="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F8C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图2 二区北2门监控点位图</w:t>
      </w:r>
    </w:p>
    <w:p w14:paraId="24C630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5039995" cy="3565525"/>
            <wp:effectExtent l="0" t="0" r="1905" b="3175"/>
            <wp:docPr id="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56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436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图3 二区北1门监控点位图</w:t>
      </w:r>
    </w:p>
    <w:p w14:paraId="6E4AEABE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25D85F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default" w:ascii="黑体" w:hAnsi="黑体" w:eastAsia="黑体" w:cs="黑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 w:bidi="ar-SA"/>
        </w:rPr>
        <w:t>三、部分区域监控设备新增</w:t>
      </w:r>
    </w:p>
    <w:p w14:paraId="358BD5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1.新增楼栋间人行通道监控设备（11台）</w:t>
      </w:r>
    </w:p>
    <w:p w14:paraId="7F3013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表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新增楼栋间人行通道监控设备一览表</w:t>
      </w:r>
    </w:p>
    <w:tbl>
      <w:tblPr>
        <w:tblStyle w:val="6"/>
        <w:tblW w:w="7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4908"/>
        <w:gridCol w:w="1907"/>
      </w:tblGrid>
      <w:tr w14:paraId="01B5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22" w:type="dxa"/>
            <w:vAlign w:val="center"/>
          </w:tcPr>
          <w:p w14:paraId="25D22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908" w:type="dxa"/>
            <w:vAlign w:val="center"/>
          </w:tcPr>
          <w:p w14:paraId="305D4E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位置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B584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28"/>
                <w:szCs w:val="28"/>
                <w:lang w:val="en-US" w:eastAsia="zh-CN" w:bidi="ar-SA"/>
              </w:rPr>
              <w:t>拍摄方向</w:t>
            </w:r>
          </w:p>
        </w:tc>
      </w:tr>
      <w:tr w14:paraId="6D582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3643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908" w:type="dxa"/>
            <w:vAlign w:val="center"/>
          </w:tcPr>
          <w:p w14:paraId="01F798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1-3号楼中间通道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20D1B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由西向东</w:t>
            </w:r>
          </w:p>
        </w:tc>
      </w:tr>
      <w:tr w14:paraId="22E6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0DDA9A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908" w:type="dxa"/>
            <w:vAlign w:val="center"/>
          </w:tcPr>
          <w:p w14:paraId="4FCFC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3-5号楼中间通道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1AEEF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由西向东</w:t>
            </w:r>
          </w:p>
        </w:tc>
      </w:tr>
      <w:tr w14:paraId="4BEE2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7C2513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908" w:type="dxa"/>
            <w:vAlign w:val="center"/>
          </w:tcPr>
          <w:p w14:paraId="76B57D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2-4号楼中间通道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976F2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由东向西</w:t>
            </w:r>
          </w:p>
        </w:tc>
      </w:tr>
      <w:tr w14:paraId="25D77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1C706D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908" w:type="dxa"/>
            <w:vAlign w:val="center"/>
          </w:tcPr>
          <w:p w14:paraId="24797A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4-6号楼中间通道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1E86F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由东向西</w:t>
            </w:r>
          </w:p>
        </w:tc>
      </w:tr>
      <w:tr w14:paraId="41AA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922" w:type="dxa"/>
            <w:vAlign w:val="center"/>
          </w:tcPr>
          <w:p w14:paraId="73FE9E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908" w:type="dxa"/>
            <w:vAlign w:val="center"/>
          </w:tcPr>
          <w:p w14:paraId="233884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7号楼北侧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982E6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由东向西</w:t>
            </w:r>
          </w:p>
        </w:tc>
      </w:tr>
      <w:tr w14:paraId="4D693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6FE43A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908" w:type="dxa"/>
            <w:vAlign w:val="center"/>
          </w:tcPr>
          <w:p w14:paraId="3D3827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7号楼北侧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FDBEE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由西向东</w:t>
            </w:r>
          </w:p>
        </w:tc>
      </w:tr>
      <w:tr w14:paraId="1451A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221166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908" w:type="dxa"/>
            <w:vAlign w:val="center"/>
          </w:tcPr>
          <w:p w14:paraId="3CBFAF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7号楼北侧承宗路（1个立杆）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3B8E7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由东向西</w:t>
            </w:r>
          </w:p>
        </w:tc>
      </w:tr>
      <w:tr w14:paraId="3E580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40C47C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908" w:type="dxa"/>
            <w:vAlign w:val="center"/>
          </w:tcPr>
          <w:p w14:paraId="34CD6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7号楼北侧承宗路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92B7E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由西向东</w:t>
            </w:r>
          </w:p>
        </w:tc>
      </w:tr>
      <w:tr w14:paraId="1A046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0EA961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908" w:type="dxa"/>
            <w:vAlign w:val="center"/>
          </w:tcPr>
          <w:p w14:paraId="7EC00F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承宗路北广场（含1根横臂）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BCABD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朝向西南</w:t>
            </w:r>
          </w:p>
        </w:tc>
      </w:tr>
      <w:tr w14:paraId="26DC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0FFBA1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908" w:type="dxa"/>
            <w:vAlign w:val="center"/>
          </w:tcPr>
          <w:p w14:paraId="4BC8C4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承宗路北广场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66F1E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朝向东南</w:t>
            </w:r>
          </w:p>
        </w:tc>
      </w:tr>
      <w:tr w14:paraId="5DF7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2" w:type="dxa"/>
            <w:vAlign w:val="center"/>
          </w:tcPr>
          <w:p w14:paraId="57345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908" w:type="dxa"/>
            <w:vAlign w:val="center"/>
          </w:tcPr>
          <w:p w14:paraId="668323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承宗路东侧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681C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朝向西北</w:t>
            </w:r>
          </w:p>
        </w:tc>
      </w:tr>
    </w:tbl>
    <w:p w14:paraId="7E927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117475</wp:posOffset>
            </wp:positionV>
            <wp:extent cx="5039995" cy="3958590"/>
            <wp:effectExtent l="0" t="0" r="1905" b="3810"/>
            <wp:wrapTopAndBottom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图4 一期教学区域新增监控点位图</w:t>
      </w:r>
    </w:p>
    <w:p w14:paraId="1D54EF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ADEE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2.兰苑社区电动自行车停车区域监控设备新增（12台）</w:t>
      </w:r>
    </w:p>
    <w:p w14:paraId="49D03C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（1）博学路人工湖路段，新增5个立杆，路北新增7台摄像机、路南新增2台摄像机。</w:t>
      </w:r>
    </w:p>
    <w:p w14:paraId="23611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（2）博学路与厚德路交口新增1个立杆、2台摄像机，其中一个朝向西面，另一个朝向西北面。</w:t>
      </w:r>
    </w:p>
    <w:p w14:paraId="6D2BA5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（3）博学路体育场西边利用旧杆新增1个横臂、1台摄像机，拍摄方向由南向北。</w:t>
      </w:r>
    </w:p>
    <w:p w14:paraId="4FA17D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039995" cy="3477260"/>
            <wp:effectExtent l="0" t="0" r="1905" b="254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4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07F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图5 兰苑社区电动自行车停车区域新增监控点位图</w:t>
      </w:r>
    </w:p>
    <w:p w14:paraId="1C79FC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</w:p>
    <w:p w14:paraId="5B8CC4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3.桂苑社区电动自行车区域监控设备新增（13台）</w:t>
      </w:r>
    </w:p>
    <w:p w14:paraId="15F6C2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善思路桂苑社区段，路北新增5台摄像机、路南新增8台摄像机；共新增13台摄像机，新增5根立杆，利旧1根立杆。</w:t>
      </w:r>
    </w:p>
    <w:p w14:paraId="3CB2C0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039995" cy="2115820"/>
            <wp:effectExtent l="0" t="0" r="1905" b="5080"/>
            <wp:docPr id="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7C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图6 桂苑社区电动自行车停车区域新增监控点位图</w:t>
      </w:r>
    </w:p>
    <w:p w14:paraId="20441D9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F8220B5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5"/>
        <w:tblW w:w="138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763"/>
        <w:gridCol w:w="9636"/>
        <w:gridCol w:w="757"/>
        <w:gridCol w:w="734"/>
        <w:gridCol w:w="1155"/>
      </w:tblGrid>
      <w:tr w14:paraId="55AA6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84B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outlineLvl w:val="0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四、主要产品清单</w:t>
            </w:r>
          </w:p>
        </w:tc>
      </w:tr>
      <w:tr w14:paraId="3DB58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产品参数、要求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B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推荐品牌</w:t>
            </w:r>
          </w:p>
        </w:tc>
      </w:tr>
      <w:tr w14:paraId="2419F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83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400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万像素高清智能变焦摄像机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D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1.摄像机可无缝接入学校现有安防管理平台，提供针对此项目的原厂承诺函</w:t>
            </w: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；</w:t>
            </w:r>
          </w:p>
          <w:p w14:paraId="24BD2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2.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具备≥400万像素CMOS图像传感器，靶面尺寸≥1/3英寸，最高分辨率≥2688×1520，在该分辨率下帧率≥25fps，可输出实时图像；</w:t>
            </w:r>
          </w:p>
          <w:p w14:paraId="51741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.采用深度学习硬件及算法，支持人车分类侦测，具备越界侦测、区域入侵侦测、进入区域侦测和离开区域侦测功能；</w:t>
            </w:r>
          </w:p>
          <w:p w14:paraId="1DCEE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4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.支持对运动人脸抓拍和属性分析，支持快速抓拍和优选抓拍两种模式，支持对不同目标进行检测、抓拍，最多同时检测10张人脸；</w:t>
            </w:r>
          </w:p>
          <w:p w14:paraId="5894C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5.支持闪光灯功能；支持白光和红外双补光模式，红外补光距离≥50m，白光补光距离≥30m，补光波长范围850nm，支持防补光过曝，支持智能补光模式，可切换白光灯或红外灯；</w:t>
            </w:r>
          </w:p>
          <w:p w14:paraId="34647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6.支持≥1个内置麦克风和≥1个内置扬声器，支持双向语音对讲；</w:t>
            </w:r>
          </w:p>
          <w:p w14:paraId="46808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7.支持自研编码技术，具备高压缩率及稳定画质输出；</w:t>
            </w:r>
          </w:p>
          <w:p w14:paraId="0327D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8.防护等级≥IP67，防尘防水设计；</w:t>
            </w:r>
          </w:p>
          <w:p w14:paraId="5FB34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9.支持电动变焦，焦距范围2.7~13.5mm，水平视场角范围98.9°~30.3°，垂直视场角范围52.8°~17.2°，对角视场角范围117.6°~34.8°；</w:t>
            </w:r>
          </w:p>
          <w:p w14:paraId="36D84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10.最低照度彩色≤0.005Lux；</w:t>
            </w:r>
          </w:p>
          <w:p w14:paraId="4AE5B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11.宽动态范围≥120dB，支持背光补偿、强光抑制、3D数字降噪及透雾功能；</w:t>
            </w:r>
          </w:p>
          <w:p w14:paraId="0AEA3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12.视频压缩标准支持主码流H.265/H.264，子码流H.265/H.264/MJPEG，第三码流H.265/H.264；</w:t>
            </w:r>
          </w:p>
          <w:p w14:paraId="491BF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13.具备≥1个RJ45 10M/100M自适应以太网口；</w:t>
            </w:r>
          </w:p>
          <w:p w14:paraId="73A6A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14.支持最大512GB Micro SD/Micro SDHC/Micro SDXC卡本地存储；</w:t>
            </w:r>
          </w:p>
          <w:p w14:paraId="3304A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15.具备≥1路音频输入接口，最大输入幅值3.3Vpp，输入阻抗4.7kΩ，非平衡接口；具备≥1路音频输出接口，最大输出幅值3.3Vpp，输出阻抗100Ω，非平衡接口；</w:t>
            </w:r>
          </w:p>
          <w:p w14:paraId="04C88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16.具备≥1路报警输入和≥1路报警输出，报警输出最大支持DC24V 1A或AC24V 1A；</w:t>
            </w:r>
          </w:p>
          <w:p w14:paraId="5C6EB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17.支持复位功能，支持客户端或浏览器恢复出厂设置；</w:t>
            </w:r>
          </w:p>
          <w:p w14:paraId="51FF2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18.支持DC12V±25%供电，具备防反接保护，支持PoE IEEE 802.3at供电，CLASS 4等级，DC供电最大功耗≤13W，PoE供电最大功耗≤15W，电源接口类型为Ø5.5mm圆口。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台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0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学校现有监控系统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为海康威视，供应产品应能够接入现有系统并正常使用。海康、大华、宇视。</w:t>
            </w:r>
          </w:p>
        </w:tc>
      </w:tr>
      <w:tr w14:paraId="6688F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2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400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万像素摄像机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8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1.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可接入学校现有安防管理平台，提供针对此项目的原厂承诺函；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2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.支持输出图像分辨率≥2560×1440；</w:t>
            </w:r>
          </w:p>
          <w:p w14:paraId="1E793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.内置集成CPU、GPU、NPU于一体的芯片；</w:t>
            </w:r>
          </w:p>
          <w:p w14:paraId="7BF89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4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.补光灯灯杯采用双层透镜结构；补光灯均匀无波纹状、圆环状、麻点状、条纹状和不规则亮斑；</w:t>
            </w:r>
          </w:p>
          <w:p w14:paraId="59504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5.支持通过IE浏览器或客户端开启白光补光；</w:t>
            </w:r>
          </w:p>
          <w:p w14:paraId="2E474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6.支持在低照环境下开启补光灯，可识别距离样机30m处人体轮廓；</w:t>
            </w:r>
          </w:p>
          <w:p w14:paraId="4DB97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7.具有日夜场景自适应功能，在白天和夜晚环境下均可输出彩色图像，在夜晚自动开启补光灯条件下，夜晚图像清晰度不低于白天图像清晰度的95%；</w:t>
            </w:r>
          </w:p>
          <w:p w14:paraId="4AB77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8.具有AI-ISP图像质量提升功能，在低照度环境下，可自动调节预览场景视频画面中人脸、人体、车辆等目标及预览场景视频画面的区域曝光、亮度、色彩饱和度、对比度、锐度等；</w:t>
            </w:r>
          </w:p>
          <w:p w14:paraId="7698D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9.支持通过IE浏览器设置码流套餐为画质优先、均衡模式、存储优先及自定义4种类型；</w:t>
            </w:r>
          </w:p>
          <w:p w14:paraId="516EC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10.内置靶面尺寸为1/1.8英寸的CMOS图像传感器，光圈≥F1.0，支持DC12V供电；</w:t>
            </w:r>
          </w:p>
          <w:p w14:paraId="515F9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11.支持对H.264、H.265编码格式的视频进行AI编码，开启AI编码功能后，视频编码格式、分辨率、帧率保持不变；</w:t>
            </w:r>
          </w:p>
          <w:p w14:paraId="58EF7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12.支持大模型AI编码功能，可保持可视场景中目标（如人、车）的图像质量，并虚化背景以降低码率和存储空间；</w:t>
            </w:r>
          </w:p>
          <w:p w14:paraId="3117D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13.在同一监控场景下，AI编码功能开启并运行24h后，相比于不开启AI编码功能状态下的H.265编码，在目标清晰度无明显降低的条件下，码率节约≥50%。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台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5D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学校现有监控系统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为海康威视，供应产品应能够接入现有系统并正常使用。海康、大华、宇视。</w:t>
            </w:r>
          </w:p>
        </w:tc>
      </w:tr>
      <w:tr w14:paraId="77C78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C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立杆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A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定制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3.5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米立杆，含地笼、基础混凝土。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套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EA58"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  <w:tr w14:paraId="63F1F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2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2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横臂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F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定制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1.5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米横臂</w:t>
            </w:r>
            <w:r>
              <w:rPr>
                <w:rStyle w:val="10"/>
                <w:rFonts w:hint="eastAsia" w:ascii="Times New Roman" w:hAnsi="Times New Roman" w:eastAsia="仿宋_GB2312" w:cs="Times New Roman"/>
                <w:lang w:val="en-US" w:eastAsia="zh-CN" w:bidi="ar"/>
              </w:rPr>
              <w:t>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个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8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EE2C"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  <w:tr w14:paraId="422F7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汇聚箱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C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定制汇聚箱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300*400cm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，含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10A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空开。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套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040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  <w:tr w14:paraId="73245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A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口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POE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光交换机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5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 PoE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千兆接入口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+1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千兆上联光口，内置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3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公里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SC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单纤光模块（单纤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3KM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，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TX1310/RX1550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），整机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PoE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输出功率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60W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台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8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641A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海康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锐捷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大华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</w:t>
            </w:r>
          </w:p>
        </w:tc>
      </w:tr>
      <w:tr w14:paraId="10E0E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F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光纤跳线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D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LC-LC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单模双芯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3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米</w:t>
            </w:r>
            <w:r>
              <w:rPr>
                <w:rStyle w:val="10"/>
                <w:rFonts w:hint="eastAsia" w:ascii="Times New Roman" w:hAnsi="Times New Roman" w:eastAsia="仿宋_GB2312" w:cs="Times New Roman"/>
                <w:lang w:val="en-US" w:eastAsia="zh-CN" w:bidi="ar"/>
              </w:rPr>
              <w:t>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个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1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胜为、山泽、厚德揽胜</w:t>
            </w:r>
          </w:p>
        </w:tc>
      </w:tr>
      <w:tr w14:paraId="671C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光纤终端盒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B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口，配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LC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单模尾纤法兰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8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芯</w:t>
            </w:r>
            <w:r>
              <w:rPr>
                <w:rStyle w:val="10"/>
                <w:rFonts w:hint="eastAsia" w:ascii="Times New Roman" w:hAnsi="Times New Roman" w:eastAsia="仿宋_GB2312" w:cs="Times New Roman"/>
                <w:lang w:val="en-US" w:eastAsia="zh-CN" w:bidi="ar"/>
              </w:rPr>
              <w:t>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个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5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胜为、山泽、厚德揽胜</w:t>
            </w:r>
          </w:p>
        </w:tc>
      </w:tr>
      <w:tr w14:paraId="42C2D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5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六类非屏蔽双绞线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F4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六类非屏蔽双绞线</w:t>
            </w:r>
            <w:r>
              <w:rPr>
                <w:rStyle w:val="10"/>
                <w:rFonts w:hint="eastAsia" w:ascii="Times New Roman" w:hAnsi="Times New Roman" w:eastAsia="仿宋_GB2312" w:cs="Times New Roman"/>
                <w:lang w:val="en-US" w:eastAsia="zh-CN" w:bidi="ar"/>
              </w:rPr>
              <w:t>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箱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B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胜为、山泽、厚德揽胜</w:t>
            </w:r>
          </w:p>
        </w:tc>
      </w:tr>
      <w:tr w14:paraId="10A9E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复合光缆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FF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8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芯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RVV2*1.0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光缆</w:t>
            </w:r>
            <w:r>
              <w:rPr>
                <w:rStyle w:val="10"/>
                <w:rFonts w:hint="eastAsia" w:ascii="Times New Roman" w:hAnsi="Times New Roman" w:eastAsia="仿宋_GB2312" w:cs="Times New Roman"/>
                <w:lang w:val="en-US" w:eastAsia="zh-CN" w:bidi="ar"/>
              </w:rPr>
              <w:t>，含开挖、开挖、恢复等。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米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09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lang w:val="en-US" w:eastAsia="zh-CN" w:bidi="ar"/>
              </w:rPr>
              <w:t>胜为、山泽、厚德揽胜</w:t>
            </w:r>
          </w:p>
        </w:tc>
      </w:tr>
      <w:tr w14:paraId="7D6FB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PE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管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F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Φ32PE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管</w:t>
            </w:r>
            <w:r>
              <w:rPr>
                <w:rStyle w:val="10"/>
                <w:rFonts w:hint="eastAsia" w:ascii="Times New Roman" w:hAnsi="Times New Roman" w:eastAsia="仿宋_GB2312" w:cs="Times New Roman"/>
                <w:lang w:val="en-US" w:eastAsia="zh-CN" w:bidi="ar"/>
              </w:rPr>
              <w:t>，含开挖、开挖、恢复等。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米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8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联塑、伟星、中财</w:t>
            </w:r>
          </w:p>
        </w:tc>
      </w:tr>
      <w:tr w14:paraId="5E4E1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PVC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管</w:t>
            </w:r>
          </w:p>
        </w:tc>
        <w:tc>
          <w:tcPr>
            <w:tcW w:w="9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A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Φ25PVC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管</w:t>
            </w:r>
            <w:r>
              <w:rPr>
                <w:rStyle w:val="10"/>
                <w:rFonts w:hint="eastAsia" w:ascii="Times New Roman" w:hAnsi="Times New Roman" w:eastAsia="仿宋_GB2312" w:cs="Times New Roman"/>
                <w:lang w:val="en-US" w:eastAsia="zh-CN" w:bidi="ar"/>
              </w:rPr>
              <w:t>，</w:t>
            </w: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含开挖、开挖、恢复等。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lang w:val="en-US" w:eastAsia="zh-CN" w:bidi="ar"/>
              </w:rPr>
              <w:t>米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5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联塑、伟星、中财</w:t>
            </w:r>
          </w:p>
        </w:tc>
      </w:tr>
    </w:tbl>
    <w:p w14:paraId="43962EA2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2F4E2385">
      <w:pPr>
        <w:rPr>
          <w:rFonts w:hint="default"/>
          <w:lang w:val="en-US" w:eastAsia="zh-CN"/>
        </w:rPr>
      </w:pPr>
    </w:p>
    <w:p w14:paraId="61695074">
      <w:pPr>
        <w:spacing w:after="0" w:line="360" w:lineRule="auto"/>
        <w:ind w:left="0" w:firstLine="0"/>
        <w:jc w:val="center"/>
        <w:rPr>
          <w:rFonts w:hint="default" w:ascii="黑体" w:hAnsi="黑体" w:eastAsia="黑体"/>
          <w:sz w:val="44"/>
          <w:szCs w:val="44"/>
        </w:rPr>
      </w:pPr>
      <w:r>
        <w:rPr>
          <w:rFonts w:hint="default" w:ascii="黑体" w:hAnsi="黑体" w:eastAsia="黑体"/>
          <w:sz w:val="44"/>
          <w:szCs w:val="44"/>
        </w:rPr>
        <w:t>第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二</w:t>
      </w:r>
      <w:r>
        <w:rPr>
          <w:rFonts w:hint="default" w:ascii="黑体" w:hAnsi="黑体" w:eastAsia="黑体"/>
          <w:sz w:val="44"/>
          <w:szCs w:val="44"/>
        </w:rPr>
        <w:t xml:space="preserve">部分 </w:t>
      </w:r>
      <w:r>
        <w:rPr>
          <w:rFonts w:hint="default" w:ascii="黑体" w:hAnsi="黑体" w:eastAsia="黑体"/>
          <w:sz w:val="44"/>
          <w:szCs w:val="44"/>
          <w:lang w:eastAsia="zh-CN"/>
        </w:rPr>
        <w:t>比价</w:t>
      </w:r>
      <w:r>
        <w:rPr>
          <w:rFonts w:hint="default" w:ascii="黑体" w:hAnsi="黑体" w:eastAsia="黑体"/>
          <w:sz w:val="44"/>
          <w:szCs w:val="44"/>
        </w:rPr>
        <w:t>响应文件</w:t>
      </w:r>
    </w:p>
    <w:p w14:paraId="248A8AA5">
      <w:pPr>
        <w:spacing w:after="0" w:line="360" w:lineRule="auto"/>
        <w:ind w:left="210" w:leftChars="100" w:firstLine="268" w:firstLineChars="96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以下材料每页均须加盖公章，按顺序装订</w:t>
      </w:r>
      <w:r>
        <w:rPr>
          <w:rFonts w:hint="default" w:ascii="Times New Roman" w:hAnsi="Times New Roman" w:cs="Times New Roman"/>
          <w:sz w:val="28"/>
          <w:szCs w:val="28"/>
        </w:rPr>
        <w:t>。</w:t>
      </w:r>
    </w:p>
    <w:p w14:paraId="1CB884F3">
      <w:pPr>
        <w:numPr>
          <w:ilvl w:val="0"/>
          <w:numId w:val="1"/>
        </w:numPr>
        <w:spacing w:after="0" w:line="360" w:lineRule="auto"/>
        <w:ind w:left="571"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营业执照复印件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</w:t>
      </w:r>
    </w:p>
    <w:p w14:paraId="2CF84337">
      <w:pPr>
        <w:numPr>
          <w:ilvl w:val="0"/>
          <w:numId w:val="1"/>
        </w:numPr>
        <w:spacing w:after="0" w:line="360" w:lineRule="auto"/>
        <w:ind w:left="571" w:leftChars="0" w:hanging="1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法定代表人身份证明书和法定代表人授权委托书（格式自定）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</w:t>
      </w:r>
    </w:p>
    <w:p w14:paraId="04C5EC63">
      <w:pPr>
        <w:numPr>
          <w:ilvl w:val="0"/>
          <w:numId w:val="1"/>
        </w:numPr>
        <w:spacing w:after="0" w:line="360" w:lineRule="auto"/>
        <w:ind w:left="571" w:leftChars="0" w:hanging="1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近3年内在经营活动中没有重大违法记录的书面声明（格式自定）</w:t>
      </w:r>
    </w:p>
    <w:p w14:paraId="68F0E8E6">
      <w:pPr>
        <w:numPr>
          <w:ilvl w:val="0"/>
          <w:numId w:val="1"/>
        </w:numPr>
        <w:spacing w:after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比价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响应函（</w:t>
      </w:r>
      <w:r>
        <w:rPr>
          <w:rFonts w:hint="eastAsia" w:ascii="仿宋" w:hAnsi="仿宋" w:eastAsia="仿宋" w:cs="仿宋"/>
          <w:sz w:val="28"/>
          <w:szCs w:val="28"/>
        </w:rPr>
        <w:t>格式和内容自定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 xml:space="preserve">  </w:t>
      </w:r>
    </w:p>
    <w:p w14:paraId="3879561E">
      <w:pPr>
        <w:numPr>
          <w:ilvl w:val="0"/>
          <w:numId w:val="1"/>
        </w:numPr>
        <w:spacing w:after="0" w:line="360" w:lineRule="auto"/>
        <w:ind w:left="10" w:leftChars="0"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与本次采购项目有关的情况说明，包括但不限于商品规格、执行技术标准、生产设备，以及其他需要进一步说明的内容，如公司优势、产品优势、认证证书等（格式和内容自定）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</w:t>
      </w:r>
    </w:p>
    <w:p w14:paraId="3EC4B51C">
      <w:pPr>
        <w:numPr>
          <w:ilvl w:val="0"/>
          <w:numId w:val="0"/>
        </w:numPr>
        <w:spacing w:after="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6. </w:t>
      </w:r>
      <w:r>
        <w:rPr>
          <w:rFonts w:hint="eastAsia" w:ascii="仿宋" w:hAnsi="仿宋" w:eastAsia="仿宋" w:cs="仿宋"/>
          <w:sz w:val="28"/>
          <w:szCs w:val="28"/>
        </w:rPr>
        <w:t>服务承诺书，指合同履行中所承担的服务、质量保障、售后服务、应急保障服务等（格式和内容自定）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</w:t>
      </w:r>
    </w:p>
    <w:p w14:paraId="213E1826">
      <w:pPr>
        <w:numPr>
          <w:ilvl w:val="0"/>
          <w:numId w:val="0"/>
        </w:numPr>
        <w:spacing w:after="0" w:line="360" w:lineRule="auto"/>
        <w:ind w:firstLine="560" w:firstLineChars="20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7. </w:t>
      </w:r>
      <w:r>
        <w:rPr>
          <w:rFonts w:hint="eastAsia" w:ascii="仿宋" w:hAnsi="仿宋" w:eastAsia="仿宋" w:cs="仿宋"/>
          <w:sz w:val="28"/>
          <w:szCs w:val="28"/>
        </w:rPr>
        <w:t>报价表（格式和内容自定）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sectPr>
      <w:footerReference r:id="rId6" w:type="first"/>
      <w:footerReference r:id="rId4" w:type="default"/>
      <w:footerReference r:id="rId5" w:type="even"/>
      <w:pgSz w:w="11906" w:h="16838"/>
      <w:pgMar w:top="1480" w:right="1384" w:bottom="1360" w:left="157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6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E84A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37DF6D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37DF6D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C2393">
    <w:pPr>
      <w:spacing w:after="0" w:line="259" w:lineRule="auto"/>
      <w:ind w:left="0" w:right="143" w:firstLine="0"/>
      <w:jc w:val="center"/>
    </w:pPr>
  </w:p>
  <w:p w14:paraId="46346358">
    <w:pPr>
      <w:spacing w:after="0" w:line="259" w:lineRule="auto"/>
      <w:ind w:left="0" w:right="143" w:firstLine="0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C659F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7R3IzAgAAYw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m/e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87R3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C659F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342DA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18"/>
      </w:rPr>
      <w:t>1</w:t>
    </w:r>
    <w:r>
      <w:rPr>
        <w:rFonts w:ascii="Times New Roman" w:hAnsi="Times New Roman" w:eastAsia="Times New Roman" w:cs="Times New Roman"/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0401B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18"/>
      </w:rPr>
      <w:t>1</w:t>
    </w:r>
    <w:r>
      <w:rPr>
        <w:rFonts w:ascii="Times New Roman" w:hAnsi="Times New Roman" w:eastAsia="Times New Roman" w:cs="Times New Roman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2C31EB"/>
    <w:multiLevelType w:val="singleLevel"/>
    <w:tmpl w:val="7F2C31E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82FFD"/>
    <w:rsid w:val="039A2B10"/>
    <w:rsid w:val="04DD3A90"/>
    <w:rsid w:val="068F39B1"/>
    <w:rsid w:val="08856DEC"/>
    <w:rsid w:val="0A3D5F4C"/>
    <w:rsid w:val="0BEB3367"/>
    <w:rsid w:val="0E8B4384"/>
    <w:rsid w:val="0F07770D"/>
    <w:rsid w:val="10281706"/>
    <w:rsid w:val="10E23D09"/>
    <w:rsid w:val="127C669B"/>
    <w:rsid w:val="1305311F"/>
    <w:rsid w:val="131659B8"/>
    <w:rsid w:val="15C06B8F"/>
    <w:rsid w:val="162C4C46"/>
    <w:rsid w:val="173A292F"/>
    <w:rsid w:val="17875B08"/>
    <w:rsid w:val="194505FE"/>
    <w:rsid w:val="199172E5"/>
    <w:rsid w:val="19AE0964"/>
    <w:rsid w:val="1A341655"/>
    <w:rsid w:val="1A442393"/>
    <w:rsid w:val="1A5501C1"/>
    <w:rsid w:val="1BC961BB"/>
    <w:rsid w:val="1C0735A5"/>
    <w:rsid w:val="1CDE324A"/>
    <w:rsid w:val="1F6D7F44"/>
    <w:rsid w:val="1F7C71B6"/>
    <w:rsid w:val="20A94218"/>
    <w:rsid w:val="212C6DB0"/>
    <w:rsid w:val="217538DF"/>
    <w:rsid w:val="229716EE"/>
    <w:rsid w:val="23013E90"/>
    <w:rsid w:val="25BB3D77"/>
    <w:rsid w:val="26E52AD8"/>
    <w:rsid w:val="2B3C3FE7"/>
    <w:rsid w:val="2BB34E4D"/>
    <w:rsid w:val="2D022235"/>
    <w:rsid w:val="2D1C39E6"/>
    <w:rsid w:val="2D51484C"/>
    <w:rsid w:val="2E1B474F"/>
    <w:rsid w:val="30325B13"/>
    <w:rsid w:val="3063749E"/>
    <w:rsid w:val="30ED0AB9"/>
    <w:rsid w:val="34183B2C"/>
    <w:rsid w:val="3C836AE5"/>
    <w:rsid w:val="3DC56FD6"/>
    <w:rsid w:val="3DE04E51"/>
    <w:rsid w:val="407070A2"/>
    <w:rsid w:val="4494429A"/>
    <w:rsid w:val="46884A1E"/>
    <w:rsid w:val="49225DA4"/>
    <w:rsid w:val="4B303951"/>
    <w:rsid w:val="4B663F0B"/>
    <w:rsid w:val="4C6247C1"/>
    <w:rsid w:val="4D320CA3"/>
    <w:rsid w:val="4D8207E6"/>
    <w:rsid w:val="4F67123A"/>
    <w:rsid w:val="51E205A4"/>
    <w:rsid w:val="522A37B7"/>
    <w:rsid w:val="54DF3F0D"/>
    <w:rsid w:val="55191AAE"/>
    <w:rsid w:val="562543F0"/>
    <w:rsid w:val="56811F6E"/>
    <w:rsid w:val="570C11CE"/>
    <w:rsid w:val="59253085"/>
    <w:rsid w:val="59DB459A"/>
    <w:rsid w:val="5A2B2C9F"/>
    <w:rsid w:val="5B262451"/>
    <w:rsid w:val="5B690172"/>
    <w:rsid w:val="5C563E5C"/>
    <w:rsid w:val="5C8908BE"/>
    <w:rsid w:val="5CE76F8F"/>
    <w:rsid w:val="5E266E66"/>
    <w:rsid w:val="5FE11D50"/>
    <w:rsid w:val="604A2828"/>
    <w:rsid w:val="60575F2F"/>
    <w:rsid w:val="62904371"/>
    <w:rsid w:val="6475317C"/>
    <w:rsid w:val="65F6506A"/>
    <w:rsid w:val="66734968"/>
    <w:rsid w:val="672A2F0F"/>
    <w:rsid w:val="6753740B"/>
    <w:rsid w:val="67B43603"/>
    <w:rsid w:val="68CD7920"/>
    <w:rsid w:val="694D1022"/>
    <w:rsid w:val="6A590829"/>
    <w:rsid w:val="70CC3689"/>
    <w:rsid w:val="721C77D7"/>
    <w:rsid w:val="72F13F48"/>
    <w:rsid w:val="74FF602C"/>
    <w:rsid w:val="771C1C9F"/>
    <w:rsid w:val="77493F8A"/>
    <w:rsid w:val="77D73344"/>
    <w:rsid w:val="79203325"/>
    <w:rsid w:val="7AFD0D77"/>
    <w:rsid w:val="7DB20E10"/>
    <w:rsid w:val="7ED4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unhideWhenUsed/>
    <w:qFormat/>
    <w:uiPriority w:val="9"/>
    <w:pPr>
      <w:keepNext/>
      <w:keepLines/>
      <w:spacing w:after="156" w:line="265" w:lineRule="auto"/>
      <w:ind w:left="10" w:right="147" w:hanging="10"/>
      <w:jc w:val="center"/>
      <w:outlineLvl w:val="0"/>
    </w:pPr>
    <w:rPr>
      <w:rFonts w:ascii="黑体" w:hAnsi="黑体" w:eastAsia="黑体" w:cs="黑体"/>
      <w:color w:val="000000"/>
      <w:kern w:val="2"/>
      <w:sz w:val="36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footer" Target="footer2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er" Target="foot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1509</Words>
  <Characters>1585</Characters>
  <Lines>0</Lines>
  <Paragraphs>0</Paragraphs>
  <TotalTime>0</TotalTime>
  <ScaleCrop>false</ScaleCrop>
  <LinksUpToDate>false</LinksUpToDate>
  <CharactersWithSpaces>1653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2026-09-05T08:32:00Z</dcterms:created>
  <dc:creator>admin</dc:creator>
  <cp:lastModifiedBy>丁一</cp:lastModifiedBy>
  <dcterms:modified xsi:type="dcterms:W3CDTF">2026-10-12T03:26:48Z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eyJoZGlkIjoiODc1YjIyYmM5M2IyYWU4ZGJlNmNjYjVjMzIzOWI3YTAiLCJ1c2VySWQiOiIxMDY5OTk3NjQ3In0=</vt:lpwstr>
  </property>
  <property fmtid="{D5CDD505-2E9C-101B-9397-08002B2CF9AE}" pid="4" name="ICV">
    <vt:lpwstr>FE92525CA0954F3AA31FC459FC61BC94_13</vt:lpwstr>
  </property>
</Properties>
</file>