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DEBFE">
      <w:pPr>
        <w:ind w:firstLine="2520" w:firstLineChars="700"/>
        <w:rPr>
          <w:rFonts w:hint="eastAsia" w:asciiTheme="minorEastAsia" w:hAnsiTheme="minorEastAsia" w:eastAsiaTheme="minorEastAsia"/>
          <w:sz w:val="36"/>
          <w:szCs w:val="36"/>
        </w:rPr>
      </w:pPr>
      <w:r>
        <w:rPr>
          <w:rFonts w:hint="eastAsia" w:asciiTheme="minorEastAsia" w:hAnsiTheme="minorEastAsia" w:eastAsiaTheme="minorEastAsia"/>
          <w:sz w:val="36"/>
          <w:szCs w:val="36"/>
        </w:rPr>
        <w:t>比价采购项目采购需求表</w:t>
      </w:r>
    </w:p>
    <w:tbl>
      <w:tblPr>
        <w:tblStyle w:val="12"/>
        <w:tblW w:w="55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7266"/>
      </w:tblGrid>
      <w:tr w14:paraId="347DD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184" w:type="pct"/>
            <w:vAlign w:val="center"/>
          </w:tcPr>
          <w:p w14:paraId="1864FCC8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项目名称</w:t>
            </w:r>
          </w:p>
        </w:tc>
        <w:tc>
          <w:tcPr>
            <w:tcW w:w="3815" w:type="pct"/>
            <w:vAlign w:val="center"/>
          </w:tcPr>
          <w:p w14:paraId="4722FFE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  <w:lang w:val="en-US" w:eastAsia="zh-CN"/>
              </w:rPr>
              <w:t>2026年合肥大学匹克球场地设施采购</w:t>
            </w:r>
          </w:p>
        </w:tc>
      </w:tr>
      <w:tr w14:paraId="0378B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4" w:type="pct"/>
            <w:vAlign w:val="center"/>
          </w:tcPr>
          <w:p w14:paraId="52B2090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采购单位联系人</w:t>
            </w:r>
          </w:p>
          <w:p w14:paraId="4AB3506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及电话</w:t>
            </w:r>
          </w:p>
        </w:tc>
        <w:tc>
          <w:tcPr>
            <w:tcW w:w="3815" w:type="pct"/>
            <w:vAlign w:val="center"/>
          </w:tcPr>
          <w:p w14:paraId="0CD4A9A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刘老师  0551-2158344</w:t>
            </w:r>
          </w:p>
        </w:tc>
      </w:tr>
      <w:tr w14:paraId="15CEC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4" w:type="pct"/>
            <w:vAlign w:val="center"/>
          </w:tcPr>
          <w:p w14:paraId="622FEB1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项目预算</w:t>
            </w:r>
          </w:p>
        </w:tc>
        <w:tc>
          <w:tcPr>
            <w:tcW w:w="3815" w:type="pct"/>
            <w:vAlign w:val="center"/>
          </w:tcPr>
          <w:p w14:paraId="5E8A64DE">
            <w:pPr>
              <w:autoSpaceDE w:val="0"/>
              <w:autoSpaceDN w:val="0"/>
              <w:adjustRightInd w:val="0"/>
              <w:spacing w:line="360" w:lineRule="auto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>1.86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万元</w:t>
            </w:r>
          </w:p>
        </w:tc>
      </w:tr>
      <w:tr w14:paraId="52628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184" w:type="pct"/>
            <w:vAlign w:val="center"/>
          </w:tcPr>
          <w:p w14:paraId="2B1027E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项目概况</w:t>
            </w:r>
          </w:p>
        </w:tc>
        <w:tc>
          <w:tcPr>
            <w:tcW w:w="3815" w:type="pct"/>
            <w:vAlign w:val="center"/>
          </w:tcPr>
          <w:p w14:paraId="2ED3334B">
            <w:pPr>
              <w:widowControl/>
              <w:shd w:val="clear" w:color="auto" w:fill="FFFFFF"/>
              <w:wordWrap w:val="0"/>
              <w:spacing w:line="435" w:lineRule="atLeast"/>
              <w:ind w:firstLine="48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采购4片匹克</w:t>
            </w:r>
            <w:r>
              <w:rPr>
                <w:rFonts w:hint="eastAsia"/>
                <w:sz w:val="24"/>
                <w:szCs w:val="24"/>
              </w:rPr>
              <w:t>球球场专业球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网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球拍、匹克球，标准球网划线，</w:t>
            </w:r>
            <w:r>
              <w:rPr>
                <w:rFonts w:hint="eastAsia"/>
                <w:sz w:val="24"/>
                <w:szCs w:val="24"/>
              </w:rPr>
              <w:t>满足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教学、比赛、学生</w:t>
            </w:r>
            <w:r>
              <w:rPr>
                <w:rFonts w:hint="eastAsia"/>
                <w:sz w:val="24"/>
                <w:szCs w:val="24"/>
              </w:rPr>
              <w:t>社团活动、日常休闲锻炼需求，丰富校园体育场景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根据《合肥学院二级单位自行采购实施细则》要求，采购一批2026年合肥大学匹克球场地设施及耗器材。</w:t>
            </w:r>
          </w:p>
        </w:tc>
      </w:tr>
      <w:tr w14:paraId="0656E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184" w:type="pct"/>
            <w:vAlign w:val="center"/>
          </w:tcPr>
          <w:p w14:paraId="7914936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采购方式</w:t>
            </w:r>
          </w:p>
        </w:tc>
        <w:tc>
          <w:tcPr>
            <w:tcW w:w="3815" w:type="pct"/>
            <w:vAlign w:val="center"/>
          </w:tcPr>
          <w:p w14:paraId="73E3739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比价方式</w:t>
            </w:r>
          </w:p>
        </w:tc>
      </w:tr>
      <w:tr w14:paraId="03A9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4" w:type="pct"/>
            <w:vAlign w:val="center"/>
          </w:tcPr>
          <w:p w14:paraId="412C382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本项目是否接受联合体投标</w:t>
            </w:r>
          </w:p>
        </w:tc>
        <w:tc>
          <w:tcPr>
            <w:tcW w:w="3815" w:type="pct"/>
            <w:vAlign w:val="center"/>
          </w:tcPr>
          <w:p w14:paraId="3E1673A6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否</w:t>
            </w:r>
            <w:bookmarkStart w:id="0" w:name="_GoBack"/>
            <w:bookmarkEnd w:id="0"/>
          </w:p>
        </w:tc>
      </w:tr>
      <w:tr w14:paraId="161F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  <w:jc w:val="center"/>
        </w:trPr>
        <w:tc>
          <w:tcPr>
            <w:tcW w:w="1184" w:type="pct"/>
            <w:vAlign w:val="center"/>
          </w:tcPr>
          <w:p w14:paraId="57DF474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投标人资格要求</w:t>
            </w:r>
          </w:p>
        </w:tc>
        <w:tc>
          <w:tcPr>
            <w:tcW w:w="3815" w:type="pct"/>
            <w:vAlign w:val="center"/>
          </w:tcPr>
          <w:p w14:paraId="4EA33D33"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1.具有独立法人资格</w:t>
            </w:r>
          </w:p>
          <w:p w14:paraId="3D18DFF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2.本项目不接受联合体参加询标</w:t>
            </w:r>
          </w:p>
          <w:p w14:paraId="0BC9FDD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3.供应商不得存在以下不良信用记录情形之一：</w:t>
            </w:r>
          </w:p>
          <w:p w14:paraId="0780C2DB">
            <w:pPr>
              <w:pStyle w:val="4"/>
              <w:ind w:left="638" w:leftChars="0" w:hanging="638" w:hangingChars="26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（1)供应商被人民法院列入失信被执行人的；</w:t>
            </w:r>
          </w:p>
          <w:p w14:paraId="6DAB1839">
            <w:pPr>
              <w:pStyle w:val="5"/>
              <w:rPr>
                <w:rFonts w:hint="eastAsia" w:asciiTheme="minorEastAsia" w:hAnsiTheme="minorEastAsia" w:eastAsiaTheme="minorEastAsia" w:cstheme="minorEastAsia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4"/>
              </w:rPr>
              <w:t>(2)供应商被税务部门列入重大税收违法案件当事人名单的；</w:t>
            </w:r>
          </w:p>
        </w:tc>
      </w:tr>
      <w:tr w14:paraId="1187D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84" w:type="pct"/>
            <w:vAlign w:val="center"/>
          </w:tcPr>
          <w:p w14:paraId="684710C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预留中小企业份额占比</w:t>
            </w:r>
          </w:p>
        </w:tc>
        <w:tc>
          <w:tcPr>
            <w:tcW w:w="3815" w:type="pct"/>
            <w:vAlign w:val="center"/>
          </w:tcPr>
          <w:p w14:paraId="4B79EB4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全部预留</w:t>
            </w:r>
          </w:p>
        </w:tc>
      </w:tr>
      <w:tr w14:paraId="3EC2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84" w:type="pct"/>
            <w:vAlign w:val="center"/>
          </w:tcPr>
          <w:p w14:paraId="5FF8F86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付款方式</w:t>
            </w:r>
          </w:p>
        </w:tc>
        <w:tc>
          <w:tcPr>
            <w:tcW w:w="3815" w:type="pct"/>
            <w:vAlign w:val="center"/>
          </w:tcPr>
          <w:p w14:paraId="0D9EAD6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体育用品经配送完成以及验收合格后，一次性付清合同款。</w:t>
            </w:r>
          </w:p>
        </w:tc>
      </w:tr>
      <w:tr w14:paraId="7ADDE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84" w:type="pct"/>
            <w:vAlign w:val="center"/>
          </w:tcPr>
          <w:p w14:paraId="68B00E7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供货及安装地点</w:t>
            </w:r>
          </w:p>
        </w:tc>
        <w:tc>
          <w:tcPr>
            <w:tcW w:w="3815" w:type="pct"/>
            <w:vAlign w:val="center"/>
          </w:tcPr>
          <w:p w14:paraId="1603F3F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合肥大学体育部，采购人指定地点。</w:t>
            </w:r>
          </w:p>
        </w:tc>
      </w:tr>
      <w:tr w14:paraId="0020D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84" w:type="pct"/>
            <w:vAlign w:val="center"/>
          </w:tcPr>
          <w:p w14:paraId="2A3844F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供货及安装期限</w:t>
            </w:r>
          </w:p>
        </w:tc>
        <w:tc>
          <w:tcPr>
            <w:tcW w:w="3815" w:type="pct"/>
            <w:vAlign w:val="center"/>
          </w:tcPr>
          <w:p w14:paraId="298C520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合同签订后按7日内完成供货及安装</w:t>
            </w:r>
          </w:p>
        </w:tc>
      </w:tr>
      <w:tr w14:paraId="52E2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84" w:type="pct"/>
            <w:vAlign w:val="center"/>
          </w:tcPr>
          <w:p w14:paraId="0E44148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免费质保期</w:t>
            </w:r>
          </w:p>
        </w:tc>
        <w:tc>
          <w:tcPr>
            <w:tcW w:w="3815" w:type="pct"/>
            <w:vAlign w:val="center"/>
          </w:tcPr>
          <w:p w14:paraId="588412F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验收合格之日起1年</w:t>
            </w:r>
          </w:p>
        </w:tc>
      </w:tr>
      <w:tr w14:paraId="5C057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84" w:type="pct"/>
            <w:vAlign w:val="center"/>
          </w:tcPr>
          <w:p w14:paraId="7B6B6E0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拟采用的评标办法</w:t>
            </w:r>
          </w:p>
        </w:tc>
        <w:tc>
          <w:tcPr>
            <w:tcW w:w="3815" w:type="pct"/>
            <w:vAlign w:val="center"/>
          </w:tcPr>
          <w:p w14:paraId="2AE37DE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比价方式</w:t>
            </w:r>
          </w:p>
        </w:tc>
      </w:tr>
    </w:tbl>
    <w:p w14:paraId="46C63059">
      <w:pPr>
        <w:pStyle w:val="4"/>
        <w:ind w:left="0" w:leftChars="0" w:firstLine="0" w:firstLineChars="0"/>
      </w:pPr>
    </w:p>
    <w:p w14:paraId="72343DC4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C6C9100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（二）货物需求表</w:t>
      </w:r>
    </w:p>
    <w:tbl>
      <w:tblPr>
        <w:tblStyle w:val="12"/>
        <w:tblW w:w="57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265"/>
        <w:gridCol w:w="4811"/>
        <w:gridCol w:w="1101"/>
        <w:gridCol w:w="9"/>
        <w:gridCol w:w="1013"/>
        <w:gridCol w:w="1013"/>
      </w:tblGrid>
      <w:tr w14:paraId="22A1B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94" w:type="pct"/>
            <w:vAlign w:val="center"/>
          </w:tcPr>
          <w:p w14:paraId="7F2FE5D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646" w:type="pct"/>
            <w:vAlign w:val="center"/>
          </w:tcPr>
          <w:p w14:paraId="3B917D0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货物名称</w:t>
            </w:r>
          </w:p>
        </w:tc>
        <w:tc>
          <w:tcPr>
            <w:tcW w:w="2457" w:type="pct"/>
            <w:vAlign w:val="center"/>
          </w:tcPr>
          <w:p w14:paraId="28B5067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技术参数及要求</w:t>
            </w:r>
          </w:p>
        </w:tc>
        <w:tc>
          <w:tcPr>
            <w:tcW w:w="566" w:type="pct"/>
            <w:gridSpan w:val="2"/>
            <w:vAlign w:val="center"/>
          </w:tcPr>
          <w:p w14:paraId="699DDBF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数量（单位）</w:t>
            </w:r>
          </w:p>
        </w:tc>
        <w:tc>
          <w:tcPr>
            <w:tcW w:w="517" w:type="pct"/>
            <w:vAlign w:val="center"/>
          </w:tcPr>
          <w:p w14:paraId="4B224C8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单价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（元）</w:t>
            </w:r>
          </w:p>
        </w:tc>
        <w:tc>
          <w:tcPr>
            <w:tcW w:w="517" w:type="pct"/>
            <w:vAlign w:val="center"/>
          </w:tcPr>
          <w:p w14:paraId="7E9F30BC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合价（元）</w:t>
            </w:r>
          </w:p>
        </w:tc>
      </w:tr>
      <w:tr w14:paraId="075B8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294" w:type="pct"/>
            <w:vAlign w:val="center"/>
          </w:tcPr>
          <w:p w14:paraId="4545186D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46" w:type="pct"/>
            <w:vAlign w:val="center"/>
          </w:tcPr>
          <w:p w14:paraId="06C6F933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匹克球拍</w:t>
            </w:r>
          </w:p>
        </w:tc>
        <w:tc>
          <w:tcPr>
            <w:tcW w:w="2457" w:type="pct"/>
          </w:tcPr>
          <w:p w14:paraId="433FC131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40*20cm T300碳纤维、蜂窝芯、灰色T P U边条、皮革手柄带，225克±2，</w:t>
            </w:r>
          </w:p>
          <w:p w14:paraId="1A52C6B6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拍面要求：平整光滑，禁止砂纸、颗粒涂层等违规增旋表层；无尖锐边角，安全环保，无刺激性异味。</w:t>
            </w:r>
            <w:r>
              <w:rPr>
                <w:rFonts w:hint="eastAsia" w:ascii="Times New Roman" w:hAnsi="宋体" w:cs="宋体"/>
                <w:lang w:val="en-US" w:eastAsia="zh-CN" w:bidi="ar-SA"/>
              </w:rPr>
              <w:t>需</w:t>
            </w:r>
            <w:r>
              <w:rPr>
                <w:rFonts w:hint="eastAsia" w:ascii="Times New Roman" w:hAnsi="宋体" w:eastAsia="宋体" w:cs="宋体"/>
                <w:lang w:bidi="ar-SA"/>
              </w:rPr>
              <w:t>定制带学校logo</w:t>
            </w:r>
          </w:p>
        </w:tc>
        <w:tc>
          <w:tcPr>
            <w:tcW w:w="562" w:type="pct"/>
          </w:tcPr>
          <w:p w14:paraId="69B58688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50</w:t>
            </w:r>
            <w:r>
              <w:rPr>
                <w:rFonts w:hint="eastAsia" w:ascii="Times New Roman" w:hAnsi="宋体" w:eastAsia="宋体" w:cs="宋体"/>
                <w:lang w:bidi="ar-SA"/>
              </w:rPr>
              <w:t>个</w:t>
            </w:r>
          </w:p>
        </w:tc>
        <w:tc>
          <w:tcPr>
            <w:tcW w:w="522" w:type="pct"/>
            <w:gridSpan w:val="2"/>
          </w:tcPr>
          <w:p w14:paraId="35DAA416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5FF3F616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7C244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294" w:type="pct"/>
            <w:vAlign w:val="center"/>
          </w:tcPr>
          <w:p w14:paraId="1090014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46" w:type="pct"/>
            <w:vAlign w:val="center"/>
          </w:tcPr>
          <w:p w14:paraId="7F8DF767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匹克球</w:t>
            </w:r>
          </w:p>
        </w:tc>
        <w:tc>
          <w:tcPr>
            <w:tcW w:w="2457" w:type="pct"/>
          </w:tcPr>
          <w:p w14:paraId="610C779B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PE材质一体注塑/滚塑成型，球面平整无毛刺，无刺激性异味，性能要求：耐撞击、低温不易脆裂，长期使用不易变形；可印制学校标识，40孔竞技球，直径7.4cm，硬度60</w:t>
            </w:r>
          </w:p>
          <w:p w14:paraId="045918DE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克重25g±0.5g</w:t>
            </w:r>
          </w:p>
        </w:tc>
        <w:tc>
          <w:tcPr>
            <w:tcW w:w="562" w:type="pct"/>
          </w:tcPr>
          <w:p w14:paraId="54932D2E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1</w:t>
            </w:r>
            <w:r>
              <w:rPr>
                <w:rFonts w:hint="eastAsia" w:ascii="Times New Roman" w:hAnsi="宋体" w:eastAsia="宋体" w:cs="宋体"/>
                <w:lang w:bidi="ar-SA"/>
              </w:rPr>
              <w:t>00个</w:t>
            </w:r>
          </w:p>
        </w:tc>
        <w:tc>
          <w:tcPr>
            <w:tcW w:w="522" w:type="pct"/>
            <w:gridSpan w:val="2"/>
          </w:tcPr>
          <w:p w14:paraId="0740CA64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7DABD1CB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225F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8" w:hRule="atLeast"/>
          <w:jc w:val="center"/>
        </w:trPr>
        <w:tc>
          <w:tcPr>
            <w:tcW w:w="294" w:type="pct"/>
            <w:vAlign w:val="center"/>
          </w:tcPr>
          <w:p w14:paraId="3CDCEC1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46" w:type="pct"/>
            <w:vAlign w:val="center"/>
          </w:tcPr>
          <w:p w14:paraId="025B030F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匹克球网柱</w:t>
            </w:r>
          </w:p>
        </w:tc>
        <w:tc>
          <w:tcPr>
            <w:tcW w:w="2457" w:type="pct"/>
          </w:tcPr>
          <w:p w14:paraId="29F7F2EB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规格：7110*600*914.4mm，重量：65kg±1kg</w:t>
            </w:r>
          </w:p>
          <w:p w14:paraId="282EF00C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材质：镀锌钢管8*8公分方管</w:t>
            </w:r>
          </w:p>
          <w:p w14:paraId="0951CD5C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1.加强型重载移动轮组：采用加宽加厚轮体设计，配合强化轴承结构，提升承载能力与地面适应性，实现平稳运行及长效耐久性。</w:t>
            </w:r>
          </w:p>
          <w:p w14:paraId="789106DA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2. 一体化焊接方管骨架：通过高精度焊接工艺构建整体式方管框架，辅以模块化横管螺栓连接系统，确保结构刚性及90°垂直度几何精度。3. 自适应调节基座系统：集成多级高度调节机构，配备动态平衡装置，增强抗倾覆性能与抗冲击载荷能力。4. 模块化移动式球网支架：支持多场景快速拆装与布局重构，提升场地空间利用率及功能兼容性。</w:t>
            </w:r>
          </w:p>
        </w:tc>
        <w:tc>
          <w:tcPr>
            <w:tcW w:w="562" w:type="pct"/>
          </w:tcPr>
          <w:p w14:paraId="68047D98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4组</w:t>
            </w:r>
          </w:p>
        </w:tc>
        <w:tc>
          <w:tcPr>
            <w:tcW w:w="522" w:type="pct"/>
            <w:gridSpan w:val="2"/>
          </w:tcPr>
          <w:p w14:paraId="4E7FF1B1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111EFE7C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1DE4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94" w:type="pct"/>
            <w:vAlign w:val="center"/>
          </w:tcPr>
          <w:p w14:paraId="249A44BA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46" w:type="pct"/>
            <w:vAlign w:val="center"/>
          </w:tcPr>
          <w:p w14:paraId="3D274FFB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划线</w:t>
            </w:r>
          </w:p>
        </w:tc>
        <w:tc>
          <w:tcPr>
            <w:tcW w:w="2457" w:type="pct"/>
          </w:tcPr>
          <w:p w14:paraId="0B50207A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含球场基层处理，国际标准线宽，水性丙烯酸划线漆，抗UV、耐雨淋、耐磨。</w:t>
            </w:r>
          </w:p>
        </w:tc>
        <w:tc>
          <w:tcPr>
            <w:tcW w:w="562" w:type="pct"/>
          </w:tcPr>
          <w:p w14:paraId="795F9FBA">
            <w:pPr>
              <w:pStyle w:val="20"/>
              <w:spacing w:line="240" w:lineRule="auto"/>
              <w:rPr>
                <w:rFonts w:hint="default" w:ascii="Times New Roman" w:hAnsi="宋体" w:cs="宋体"/>
                <w:lang w:val="en-US" w:eastAsia="zh-CN" w:bidi="ar-SA"/>
              </w:rPr>
            </w:pPr>
            <w:r>
              <w:rPr>
                <w:rFonts w:hint="eastAsia" w:ascii="Times New Roman" w:hAnsi="宋体" w:cs="宋体"/>
                <w:lang w:val="en-US" w:eastAsia="zh-CN" w:bidi="ar-SA"/>
              </w:rPr>
              <w:t>460米</w:t>
            </w:r>
          </w:p>
        </w:tc>
        <w:tc>
          <w:tcPr>
            <w:tcW w:w="522" w:type="pct"/>
            <w:gridSpan w:val="2"/>
          </w:tcPr>
          <w:p w14:paraId="76F3B8F8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29AA5020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  <w:tr w14:paraId="43393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94" w:type="pct"/>
            <w:vAlign w:val="center"/>
          </w:tcPr>
          <w:p w14:paraId="3F7AE08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14:paraId="264B8D77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bidi="ar-SA"/>
              </w:rPr>
            </w:pPr>
            <w:r>
              <w:rPr>
                <w:rFonts w:hint="eastAsia" w:ascii="Times New Roman" w:hAnsi="宋体" w:eastAsia="宋体" w:cs="宋体"/>
                <w:lang w:bidi="ar-SA"/>
              </w:rPr>
              <w:t>总价</w:t>
            </w:r>
          </w:p>
        </w:tc>
        <w:tc>
          <w:tcPr>
            <w:tcW w:w="3541" w:type="pct"/>
            <w:gridSpan w:val="4"/>
          </w:tcPr>
          <w:p w14:paraId="3B7ED6D6">
            <w:pPr>
              <w:pStyle w:val="20"/>
              <w:spacing w:line="240" w:lineRule="auto"/>
              <w:rPr>
                <w:rFonts w:hint="default" w:ascii="Times New Roman" w:hAnsi="宋体" w:eastAsia="宋体" w:cs="宋体"/>
                <w:lang w:val="en-US" w:eastAsia="zh-CN" w:bidi="ar-SA"/>
              </w:rPr>
            </w:pPr>
          </w:p>
        </w:tc>
        <w:tc>
          <w:tcPr>
            <w:tcW w:w="517" w:type="pct"/>
          </w:tcPr>
          <w:p w14:paraId="447DA0A2">
            <w:pPr>
              <w:pStyle w:val="20"/>
              <w:spacing w:line="240" w:lineRule="auto"/>
              <w:rPr>
                <w:rFonts w:hint="eastAsia" w:ascii="Times New Roman" w:hAnsi="宋体" w:eastAsia="宋体" w:cs="宋体"/>
                <w:lang w:val="en-US" w:eastAsia="zh-CN" w:bidi="ar-SA"/>
              </w:rPr>
            </w:pPr>
          </w:p>
        </w:tc>
      </w:tr>
    </w:tbl>
    <w:p w14:paraId="60333B5E">
      <w:pPr>
        <w:spacing w:line="360" w:lineRule="auto"/>
        <w:outlineLvl w:val="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三、报价要求</w:t>
      </w:r>
    </w:p>
    <w:p w14:paraId="05C6A3CC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本项目报总价，包含部分货物印“合肥大学”字样，成本、运输费、仓储费、安装、税金、利润等完成项目需要的全部费用。</w:t>
      </w:r>
    </w:p>
    <w:p w14:paraId="50579456"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四、售后服务要求</w:t>
      </w:r>
    </w:p>
    <w:p w14:paraId="7F76BDC7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在质保期内免费维护。中标人接到售后电话时，要求4小时内响应并提出解决方案，24小时内到达现场处理。</w:t>
      </w:r>
    </w:p>
    <w:p w14:paraId="6C5C16CA">
      <w:pPr>
        <w:pStyle w:val="4"/>
        <w:numPr>
          <w:ilvl w:val="0"/>
          <w:numId w:val="1"/>
        </w:numPr>
        <w:ind w:left="0" w:leftChars="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其他要求</w:t>
      </w:r>
    </w:p>
    <w:p w14:paraId="38011E1E">
      <w:pPr>
        <w:pStyle w:val="5"/>
        <w:ind w:firstLine="48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/>
        </w:rPr>
        <w:t>项目供货阶段，业主可根据供货情况，安排第三方检测机构进场对以上</w:t>
      </w:r>
      <w:r>
        <w:rPr>
          <w:rFonts w:hint="eastAsia" w:ascii="宋体" w:hAnsi="宋体"/>
          <w:lang w:val="en-US" w:eastAsia="zh-CN"/>
        </w:rPr>
        <w:t>产品</w:t>
      </w:r>
      <w:r>
        <w:rPr>
          <w:rFonts w:hint="eastAsia" w:ascii="宋体" w:hAnsi="宋体"/>
        </w:rPr>
        <w:t>进行专业核查核验，相关费用由投标人承担。如出现虚假应标，投标人须承担相应法律责任</w:t>
      </w:r>
      <w:r>
        <w:rPr>
          <w:rFonts w:hint="eastAsia" w:ascii="宋体" w:hAnsi="宋体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长城粗隶书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ndnya">
    <w:altName w:val="AMGD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38959E"/>
    <w:multiLevelType w:val="singleLevel"/>
    <w:tmpl w:val="D938959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YmM2YzU2YjI2NzFiMjJjZDVkMTEyMDhmODllMWMifQ=="/>
  </w:docVars>
  <w:rsids>
    <w:rsidRoot w:val="4D5F99A7"/>
    <w:rsid w:val="000B4F69"/>
    <w:rsid w:val="000C0121"/>
    <w:rsid w:val="001C0677"/>
    <w:rsid w:val="00240759"/>
    <w:rsid w:val="00336BCB"/>
    <w:rsid w:val="003774E0"/>
    <w:rsid w:val="003E1A0D"/>
    <w:rsid w:val="004211D5"/>
    <w:rsid w:val="004618FA"/>
    <w:rsid w:val="004A449D"/>
    <w:rsid w:val="004B3F74"/>
    <w:rsid w:val="00520E4C"/>
    <w:rsid w:val="005B3704"/>
    <w:rsid w:val="00707327"/>
    <w:rsid w:val="007148C7"/>
    <w:rsid w:val="007A60E9"/>
    <w:rsid w:val="00892A30"/>
    <w:rsid w:val="00892FD2"/>
    <w:rsid w:val="00925BAA"/>
    <w:rsid w:val="00934CA4"/>
    <w:rsid w:val="009640A6"/>
    <w:rsid w:val="00973697"/>
    <w:rsid w:val="009A4513"/>
    <w:rsid w:val="009E17A2"/>
    <w:rsid w:val="00A04263"/>
    <w:rsid w:val="00A0723C"/>
    <w:rsid w:val="00A30DF0"/>
    <w:rsid w:val="00A91902"/>
    <w:rsid w:val="00AB7E55"/>
    <w:rsid w:val="00B07D26"/>
    <w:rsid w:val="00BB1C34"/>
    <w:rsid w:val="00BC205D"/>
    <w:rsid w:val="00BC5454"/>
    <w:rsid w:val="00C02520"/>
    <w:rsid w:val="00C87320"/>
    <w:rsid w:val="00CA581E"/>
    <w:rsid w:val="00CC3F65"/>
    <w:rsid w:val="00DD7CD9"/>
    <w:rsid w:val="00E04B1E"/>
    <w:rsid w:val="00E308B9"/>
    <w:rsid w:val="00EC7C3B"/>
    <w:rsid w:val="00EF194D"/>
    <w:rsid w:val="021016FD"/>
    <w:rsid w:val="023128A5"/>
    <w:rsid w:val="02A23E5E"/>
    <w:rsid w:val="05092BCE"/>
    <w:rsid w:val="08AB6FE1"/>
    <w:rsid w:val="09EE7B49"/>
    <w:rsid w:val="0BCE1E44"/>
    <w:rsid w:val="0D09037F"/>
    <w:rsid w:val="0DCE14FB"/>
    <w:rsid w:val="0E864C6C"/>
    <w:rsid w:val="10DE5C4A"/>
    <w:rsid w:val="13A11FF0"/>
    <w:rsid w:val="13BC0D8C"/>
    <w:rsid w:val="18892D4D"/>
    <w:rsid w:val="188B0B51"/>
    <w:rsid w:val="188E67F9"/>
    <w:rsid w:val="1FA515B7"/>
    <w:rsid w:val="214210A0"/>
    <w:rsid w:val="21D9364E"/>
    <w:rsid w:val="22024813"/>
    <w:rsid w:val="221F2128"/>
    <w:rsid w:val="24AF789D"/>
    <w:rsid w:val="24CF5DD3"/>
    <w:rsid w:val="24E54C5F"/>
    <w:rsid w:val="26467A26"/>
    <w:rsid w:val="26A65BCB"/>
    <w:rsid w:val="27B31494"/>
    <w:rsid w:val="27EC415C"/>
    <w:rsid w:val="29756548"/>
    <w:rsid w:val="306B67E5"/>
    <w:rsid w:val="3112094D"/>
    <w:rsid w:val="31DF4148"/>
    <w:rsid w:val="32D8774B"/>
    <w:rsid w:val="347B2CCE"/>
    <w:rsid w:val="360C13A4"/>
    <w:rsid w:val="368314AE"/>
    <w:rsid w:val="39195B42"/>
    <w:rsid w:val="3C184C27"/>
    <w:rsid w:val="3E171CB9"/>
    <w:rsid w:val="3FA367F7"/>
    <w:rsid w:val="41147ACF"/>
    <w:rsid w:val="43923868"/>
    <w:rsid w:val="47095DF5"/>
    <w:rsid w:val="49AE2DA6"/>
    <w:rsid w:val="49C7717D"/>
    <w:rsid w:val="4B8C6928"/>
    <w:rsid w:val="4D0C71A8"/>
    <w:rsid w:val="4D5F99A7"/>
    <w:rsid w:val="4DEB26E8"/>
    <w:rsid w:val="4DED6593"/>
    <w:rsid w:val="4F073BBE"/>
    <w:rsid w:val="51E5638B"/>
    <w:rsid w:val="5423758D"/>
    <w:rsid w:val="55B17635"/>
    <w:rsid w:val="57B7711F"/>
    <w:rsid w:val="5A4B65D7"/>
    <w:rsid w:val="5A9F5E4C"/>
    <w:rsid w:val="5CD13C55"/>
    <w:rsid w:val="5DD774C2"/>
    <w:rsid w:val="5ED762A3"/>
    <w:rsid w:val="5FEB725B"/>
    <w:rsid w:val="60097B60"/>
    <w:rsid w:val="60C23E05"/>
    <w:rsid w:val="611512E2"/>
    <w:rsid w:val="614B5652"/>
    <w:rsid w:val="63991544"/>
    <w:rsid w:val="667F22B5"/>
    <w:rsid w:val="67101330"/>
    <w:rsid w:val="69141352"/>
    <w:rsid w:val="69F70DEE"/>
    <w:rsid w:val="6BEB5870"/>
    <w:rsid w:val="6C1A1342"/>
    <w:rsid w:val="6C1C0572"/>
    <w:rsid w:val="6C931FDF"/>
    <w:rsid w:val="74553864"/>
    <w:rsid w:val="782C0961"/>
    <w:rsid w:val="7A970B40"/>
    <w:rsid w:val="7B7DA8AD"/>
    <w:rsid w:val="7C7D4E77"/>
    <w:rsid w:val="7F80779D"/>
    <w:rsid w:val="BFBC81B4"/>
    <w:rsid w:val="C33F8901"/>
    <w:rsid w:val="FBC90D63"/>
    <w:rsid w:val="FF3E9706"/>
    <w:rsid w:val="FF7F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basedOn w:val="1"/>
    <w:next w:val="5"/>
    <w:unhideWhenUsed/>
    <w:qFormat/>
    <w:uiPriority w:val="99"/>
    <w:pPr>
      <w:spacing w:after="120"/>
      <w:ind w:left="420" w:leftChars="200"/>
    </w:pPr>
  </w:style>
  <w:style w:type="paragraph" w:styleId="5">
    <w:name w:val="envelope return"/>
    <w:basedOn w:val="1"/>
    <w:qFormat/>
    <w:uiPriority w:val="0"/>
    <w:pPr>
      <w:snapToGrid w:val="0"/>
      <w:spacing w:line="360" w:lineRule="auto"/>
    </w:pPr>
    <w:rPr>
      <w:rFonts w:ascii="Arial" w:hAnsi="Arial" w:cs="Arial"/>
      <w:sz w:val="24"/>
    </w:rPr>
  </w:style>
  <w:style w:type="paragraph" w:styleId="6">
    <w:name w:val="Plain Text"/>
    <w:basedOn w:val="1"/>
    <w:unhideWhenUsed/>
    <w:qFormat/>
    <w:uiPriority w:val="99"/>
    <w:rPr>
      <w:rFonts w:ascii="等线" w:hAnsi="Courier New" w:eastAsia="等线" w:cs="Courier New"/>
    </w:rPr>
  </w:style>
  <w:style w:type="paragraph" w:styleId="7">
    <w:name w:val="Body Text Indent 2"/>
    <w:basedOn w:val="1"/>
    <w:qFormat/>
    <w:uiPriority w:val="0"/>
    <w:pPr>
      <w:spacing w:line="40" w:lineRule="atLeast"/>
      <w:ind w:firstLine="538" w:firstLineChars="192"/>
    </w:pPr>
    <w:rPr>
      <w:rFonts w:ascii="宋体" w:hAnsi="宋体"/>
      <w:kern w:val="0"/>
      <w:sz w:val="28"/>
    </w:rPr>
  </w:style>
  <w:style w:type="paragraph" w:styleId="8">
    <w:name w:val="Balloon Text"/>
    <w:basedOn w:val="1"/>
    <w:link w:val="16"/>
    <w:qFormat/>
    <w:uiPriority w:val="0"/>
    <w:rPr>
      <w:sz w:val="18"/>
      <w:szCs w:val="18"/>
    </w:rPr>
  </w:style>
  <w:style w:type="paragraph" w:styleId="9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3"/>
    <w:next w:val="1"/>
    <w:qFormat/>
    <w:uiPriority w:val="0"/>
    <w:pPr>
      <w:spacing w:line="360" w:lineRule="auto"/>
      <w:ind w:firstLine="420" w:firstLineChars="100"/>
    </w:pPr>
    <w:rPr>
      <w:rFonts w:ascii="微软雅黑" w:hAnsi="微软雅黑" w:eastAsia="微软雅黑" w:cs="微软雅黑"/>
      <w:szCs w:val="21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批注框文本 字符"/>
    <w:link w:val="8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7">
    <w:name w:val="页脚 字符"/>
    <w:link w:val="9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18">
    <w:name w:val="D&amp;L"/>
    <w:basedOn w:val="10"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19">
    <w:name w:val="表格文字"/>
    <w:basedOn w:val="1"/>
    <w:qFormat/>
    <w:uiPriority w:val="0"/>
    <w:pPr>
      <w:spacing w:before="25" w:after="25"/>
      <w:jc w:val="left"/>
    </w:pPr>
    <w:rPr>
      <w:rFonts w:ascii="Calibri" w:hAnsi="Calibri" w:cs="宋体"/>
      <w:bCs/>
      <w:color w:val="000000"/>
      <w:spacing w:val="10"/>
      <w:kern w:val="0"/>
      <w:sz w:val="21"/>
      <w:szCs w:val="24"/>
    </w:rPr>
  </w:style>
  <w:style w:type="paragraph" w:customStyle="1" w:styleId="20">
    <w:name w:val="A管理模式编号（一）"/>
    <w:basedOn w:val="1"/>
    <w:qFormat/>
    <w:uiPriority w:val="0"/>
    <w:pPr>
      <w:spacing w:line="360" w:lineRule="auto"/>
    </w:pPr>
    <w:rPr>
      <w:rFonts w:ascii="宋体" w:hAnsi="长城粗隶书" w:cs="Sendnya"/>
      <w:sz w:val="24"/>
      <w:szCs w:val="24"/>
      <w:lang w:bidi="or-I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1080</Words>
  <Characters>1166</Characters>
  <Lines>137</Lines>
  <Paragraphs>132</Paragraphs>
  <TotalTime>114</TotalTime>
  <ScaleCrop>false</ScaleCrop>
  <LinksUpToDate>false</LinksUpToDate>
  <CharactersWithSpaces>1174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2024-03-21T19:22:00Z</dcterms:created>
  <dc:creator>user</dc:creator>
  <cp:lastModifiedBy>刘培</cp:lastModifiedBy>
  <cp:lastPrinted>2026-08-19T01:44:00Z</cp:lastPrinted>
  <dcterms:modified xsi:type="dcterms:W3CDTF">2026-08-20T01:55:16Z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AC707188AD952D9A27E6716A043EC30A_43</vt:lpwstr>
  </property>
  <property fmtid="{D5CDD505-2E9C-101B-9397-08002B2CF9AE}" pid="4" name="KSOTemplateDocerSaveRecord">
    <vt:lpwstr>eyJoZGlkIjoiZTVlMTBmNzA5NDYyYjI1NGE3ZjA1ZGI1OTZiY2Y1NjciLCJ1c2VySWQiOiIxMDMyMjQ3ODM0In0=</vt:lpwstr>
  </property>
</Properties>
</file>