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08" w:rsidRPr="004B208D" w:rsidRDefault="004B208D" w:rsidP="00B36FAB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4B208D">
        <w:rPr>
          <w:rFonts w:hint="eastAsia"/>
          <w:sz w:val="28"/>
          <w:szCs w:val="28"/>
        </w:rPr>
        <w:t>202</w:t>
      </w:r>
      <w:r w:rsidR="00AD1773">
        <w:rPr>
          <w:rFonts w:hint="eastAsia"/>
          <w:sz w:val="28"/>
          <w:szCs w:val="28"/>
        </w:rPr>
        <w:t>1</w:t>
      </w:r>
      <w:r w:rsidRPr="004B208D">
        <w:rPr>
          <w:rFonts w:hint="eastAsia"/>
          <w:sz w:val="28"/>
          <w:szCs w:val="28"/>
        </w:rPr>
        <w:t>-202</w:t>
      </w:r>
      <w:r w:rsidR="00AD1773">
        <w:rPr>
          <w:rFonts w:hint="eastAsia"/>
          <w:sz w:val="28"/>
          <w:szCs w:val="28"/>
        </w:rPr>
        <w:t>2</w:t>
      </w:r>
      <w:r w:rsidRPr="004B208D">
        <w:rPr>
          <w:rFonts w:hint="eastAsia"/>
          <w:sz w:val="28"/>
          <w:szCs w:val="28"/>
        </w:rPr>
        <w:t>学年第</w:t>
      </w:r>
      <w:r w:rsidR="00AD1773">
        <w:rPr>
          <w:rFonts w:hint="eastAsia"/>
          <w:sz w:val="28"/>
          <w:szCs w:val="28"/>
        </w:rPr>
        <w:t>一</w:t>
      </w:r>
      <w:r w:rsidRPr="004B208D">
        <w:rPr>
          <w:rFonts w:hint="eastAsia"/>
          <w:sz w:val="28"/>
          <w:szCs w:val="28"/>
        </w:rPr>
        <w:t>学期网上评教工作情况总结</w:t>
      </w:r>
    </w:p>
    <w:p w:rsidR="004B208D" w:rsidRDefault="004B208D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B208D" w:rsidRPr="00EF6251" w:rsidRDefault="004B208D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6251">
        <w:rPr>
          <w:rFonts w:asciiTheme="minorEastAsia" w:hAnsiTheme="minorEastAsia" w:hint="eastAsia"/>
          <w:sz w:val="24"/>
          <w:szCs w:val="24"/>
        </w:rPr>
        <w:t>202</w:t>
      </w:r>
      <w:r w:rsidR="00351B5F">
        <w:rPr>
          <w:rFonts w:asciiTheme="minorEastAsia" w:hAnsiTheme="minorEastAsia" w:hint="eastAsia"/>
          <w:sz w:val="24"/>
          <w:szCs w:val="24"/>
        </w:rPr>
        <w:t>1</w:t>
      </w:r>
      <w:r w:rsidRPr="00EF6251">
        <w:rPr>
          <w:rFonts w:asciiTheme="minorEastAsia" w:hAnsiTheme="minorEastAsia" w:hint="eastAsia"/>
          <w:sz w:val="24"/>
          <w:szCs w:val="24"/>
        </w:rPr>
        <w:t>-202</w:t>
      </w:r>
      <w:r w:rsidR="00351B5F">
        <w:rPr>
          <w:rFonts w:asciiTheme="minorEastAsia" w:hAnsiTheme="minorEastAsia" w:hint="eastAsia"/>
          <w:sz w:val="24"/>
          <w:szCs w:val="24"/>
        </w:rPr>
        <w:t>2</w:t>
      </w:r>
      <w:r w:rsidRPr="00EF6251">
        <w:rPr>
          <w:rFonts w:asciiTheme="minorEastAsia" w:hAnsiTheme="minorEastAsia" w:hint="eastAsia"/>
          <w:sz w:val="24"/>
          <w:szCs w:val="24"/>
        </w:rPr>
        <w:t>学年第</w:t>
      </w:r>
      <w:r w:rsidR="00351B5F">
        <w:rPr>
          <w:rFonts w:asciiTheme="minorEastAsia" w:hAnsiTheme="minorEastAsia" w:hint="eastAsia"/>
          <w:sz w:val="24"/>
          <w:szCs w:val="24"/>
        </w:rPr>
        <w:t>一</w:t>
      </w:r>
      <w:r w:rsidRPr="00EF6251">
        <w:rPr>
          <w:rFonts w:asciiTheme="minorEastAsia" w:hAnsiTheme="minorEastAsia" w:hint="eastAsia"/>
          <w:sz w:val="24"/>
          <w:szCs w:val="24"/>
        </w:rPr>
        <w:t>学期网上评教工作于202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EF6251">
        <w:rPr>
          <w:rFonts w:asciiTheme="minorEastAsia" w:hAnsiTheme="minorEastAsia" w:hint="eastAsia"/>
          <w:sz w:val="24"/>
          <w:szCs w:val="24"/>
        </w:rPr>
        <w:t>年</w:t>
      </w:r>
      <w:r w:rsidR="00351B5F">
        <w:rPr>
          <w:rFonts w:asciiTheme="minorEastAsia" w:hAnsiTheme="minorEastAsia" w:hint="eastAsia"/>
          <w:sz w:val="24"/>
          <w:szCs w:val="24"/>
        </w:rPr>
        <w:t>12</w:t>
      </w:r>
      <w:r w:rsidRPr="00EF6251">
        <w:rPr>
          <w:rFonts w:asciiTheme="minorEastAsia" w:hAnsiTheme="minorEastAsia" w:hint="eastAsia"/>
          <w:sz w:val="24"/>
          <w:szCs w:val="24"/>
        </w:rPr>
        <w:t>月</w:t>
      </w:r>
      <w:r w:rsidR="00351B5F">
        <w:rPr>
          <w:rFonts w:asciiTheme="minorEastAsia" w:hAnsiTheme="minorEastAsia" w:hint="eastAsia"/>
          <w:sz w:val="24"/>
          <w:szCs w:val="24"/>
        </w:rPr>
        <w:t>15</w:t>
      </w:r>
      <w:r w:rsidRPr="00EF6251">
        <w:rPr>
          <w:rFonts w:asciiTheme="minorEastAsia" w:hAnsiTheme="minorEastAsia" w:hint="eastAsia"/>
          <w:sz w:val="24"/>
          <w:szCs w:val="24"/>
        </w:rPr>
        <w:t>日至202</w:t>
      </w:r>
      <w:r w:rsidR="00351B5F">
        <w:rPr>
          <w:rFonts w:asciiTheme="minorEastAsia" w:hAnsiTheme="minorEastAsia" w:hint="eastAsia"/>
          <w:sz w:val="24"/>
          <w:szCs w:val="24"/>
        </w:rPr>
        <w:t>2</w:t>
      </w:r>
      <w:r w:rsidRPr="00EF6251">
        <w:rPr>
          <w:rFonts w:asciiTheme="minorEastAsia" w:hAnsiTheme="minorEastAsia" w:hint="eastAsia"/>
          <w:sz w:val="24"/>
          <w:szCs w:val="24"/>
        </w:rPr>
        <w:t>年</w:t>
      </w:r>
      <w:r w:rsidR="00351B5F">
        <w:rPr>
          <w:rFonts w:asciiTheme="minorEastAsia" w:hAnsiTheme="minorEastAsia" w:hint="eastAsia"/>
          <w:sz w:val="24"/>
          <w:szCs w:val="24"/>
        </w:rPr>
        <w:t>1</w:t>
      </w:r>
      <w:r w:rsidRPr="00EF6251">
        <w:rPr>
          <w:rFonts w:asciiTheme="minorEastAsia" w:hAnsiTheme="minorEastAsia" w:hint="eastAsia"/>
          <w:sz w:val="24"/>
          <w:szCs w:val="24"/>
        </w:rPr>
        <w:t>月</w:t>
      </w:r>
      <w:r w:rsidR="00351B5F">
        <w:rPr>
          <w:rFonts w:asciiTheme="minorEastAsia" w:hAnsiTheme="minorEastAsia" w:hint="eastAsia"/>
          <w:sz w:val="24"/>
          <w:szCs w:val="24"/>
        </w:rPr>
        <w:t>12</w:t>
      </w:r>
      <w:r w:rsidRPr="00EF6251">
        <w:rPr>
          <w:rFonts w:asciiTheme="minorEastAsia" w:hAnsiTheme="minorEastAsia" w:hint="eastAsia"/>
          <w:sz w:val="24"/>
          <w:szCs w:val="24"/>
        </w:rPr>
        <w:t>日通过正方教务管理平台开展，现将本次评教工作总结如下：</w:t>
      </w:r>
    </w:p>
    <w:p w:rsidR="004B208D" w:rsidRPr="009C1AF1" w:rsidRDefault="004B208D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C1AF1">
        <w:rPr>
          <w:rFonts w:asciiTheme="minorEastAsia" w:hAnsiTheme="minorEastAsia" w:hint="eastAsia"/>
          <w:sz w:val="24"/>
          <w:szCs w:val="24"/>
        </w:rPr>
        <w:t>一、整体参评率</w:t>
      </w:r>
    </w:p>
    <w:p w:rsidR="00BF48D5" w:rsidRPr="009C1AF1" w:rsidRDefault="00BF48D5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C1AF1">
        <w:rPr>
          <w:rFonts w:asciiTheme="minorEastAsia" w:hAnsiTheme="minorEastAsia" w:hint="eastAsia"/>
          <w:sz w:val="24"/>
          <w:szCs w:val="24"/>
        </w:rPr>
        <w:t xml:space="preserve">    共有</w:t>
      </w:r>
      <w:r w:rsidR="00351B5F">
        <w:rPr>
          <w:rFonts w:asciiTheme="minorEastAsia" w:hAnsiTheme="minorEastAsia" w:hint="eastAsia"/>
          <w:sz w:val="24"/>
          <w:szCs w:val="24"/>
        </w:rPr>
        <w:t>10926</w:t>
      </w:r>
      <w:r w:rsidRPr="009C1AF1">
        <w:rPr>
          <w:rFonts w:asciiTheme="minorEastAsia" w:hAnsiTheme="minorEastAsia" w:hint="eastAsia"/>
          <w:sz w:val="24"/>
          <w:szCs w:val="24"/>
        </w:rPr>
        <w:t>位同学参与本次网上评教工作，共计评价</w:t>
      </w:r>
      <w:r w:rsidR="00351B5F" w:rsidRPr="00351B5F">
        <w:rPr>
          <w:rFonts w:asciiTheme="minorEastAsia" w:hAnsiTheme="minorEastAsia"/>
          <w:sz w:val="24"/>
          <w:szCs w:val="24"/>
        </w:rPr>
        <w:t>158338</w:t>
      </w:r>
      <w:r w:rsidRPr="009C1AF1">
        <w:rPr>
          <w:rFonts w:asciiTheme="minorEastAsia" w:hAnsiTheme="minorEastAsia" w:hint="eastAsia"/>
          <w:sz w:val="24"/>
          <w:szCs w:val="24"/>
        </w:rPr>
        <w:t>人次</w:t>
      </w:r>
      <w:r w:rsidR="00BA4C70" w:rsidRPr="009C1AF1">
        <w:rPr>
          <w:rFonts w:asciiTheme="minorEastAsia" w:hAnsiTheme="minorEastAsia" w:hint="eastAsia"/>
          <w:sz w:val="24"/>
          <w:szCs w:val="24"/>
        </w:rPr>
        <w:t>，二级学院整体人数参评率均值为</w:t>
      </w:r>
      <w:r w:rsidR="00EE196A" w:rsidRPr="009C1AF1">
        <w:rPr>
          <w:rFonts w:asciiTheme="minorEastAsia" w:hAnsiTheme="minorEastAsia" w:hint="eastAsia"/>
          <w:sz w:val="24"/>
          <w:szCs w:val="24"/>
        </w:rPr>
        <w:t>8</w:t>
      </w:r>
      <w:r w:rsidR="00351B5F">
        <w:rPr>
          <w:rFonts w:asciiTheme="minorEastAsia" w:hAnsiTheme="minorEastAsia" w:hint="eastAsia"/>
          <w:sz w:val="24"/>
          <w:szCs w:val="24"/>
        </w:rPr>
        <w:t>3</w:t>
      </w:r>
      <w:r w:rsidR="00EE196A" w:rsidRPr="009C1AF1">
        <w:rPr>
          <w:rFonts w:asciiTheme="minorEastAsia" w:hAnsiTheme="minorEastAsia" w:hint="eastAsia"/>
          <w:sz w:val="24"/>
          <w:szCs w:val="24"/>
        </w:rPr>
        <w:t>.69%</w:t>
      </w:r>
      <w:r w:rsidR="008F4C9E" w:rsidRPr="009C1AF1">
        <w:rPr>
          <w:rFonts w:asciiTheme="minorEastAsia" w:hAnsiTheme="minorEastAsia" w:hint="eastAsia"/>
          <w:sz w:val="24"/>
          <w:szCs w:val="24"/>
        </w:rPr>
        <w:t>。各</w:t>
      </w:r>
      <w:r w:rsidR="00351B5F">
        <w:rPr>
          <w:rFonts w:asciiTheme="minorEastAsia" w:hAnsiTheme="minorEastAsia" w:hint="eastAsia"/>
          <w:sz w:val="24"/>
          <w:szCs w:val="24"/>
        </w:rPr>
        <w:t>二级学院</w:t>
      </w:r>
      <w:r w:rsidR="008F4C9E" w:rsidRPr="009C1AF1">
        <w:rPr>
          <w:rFonts w:asciiTheme="minorEastAsia" w:hAnsiTheme="minorEastAsia" w:hint="eastAsia"/>
          <w:sz w:val="24"/>
          <w:szCs w:val="24"/>
        </w:rPr>
        <w:t>人数参评率</w:t>
      </w:r>
      <w:r w:rsidR="00EE196A" w:rsidRPr="009C1AF1">
        <w:rPr>
          <w:rFonts w:asciiTheme="minorEastAsia" w:hAnsiTheme="minorEastAsia" w:hint="eastAsia"/>
          <w:sz w:val="24"/>
          <w:szCs w:val="24"/>
        </w:rPr>
        <w:t>情况</w:t>
      </w:r>
      <w:r w:rsidR="008F4C9E" w:rsidRPr="009C1AF1">
        <w:rPr>
          <w:rFonts w:asciiTheme="minorEastAsia" w:hAnsiTheme="minorEastAsia" w:hint="eastAsia"/>
          <w:sz w:val="24"/>
          <w:szCs w:val="24"/>
        </w:rPr>
        <w:t>如下图所示：</w:t>
      </w:r>
    </w:p>
    <w:p w:rsidR="00EE196A" w:rsidRDefault="00281D01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 wp14:anchorId="0F065DCB" wp14:editId="0248EDA0">
            <wp:extent cx="5213268" cy="4108862"/>
            <wp:effectExtent l="0" t="0" r="6985" b="6350"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E196A">
        <w:rPr>
          <w:rFonts w:hint="eastAsia"/>
        </w:rPr>
        <w:t>图</w:t>
      </w:r>
      <w:r w:rsidR="00EE196A">
        <w:rPr>
          <w:rFonts w:hint="eastAsia"/>
        </w:rPr>
        <w:t>1</w:t>
      </w:r>
      <w:r w:rsidR="00EE196A">
        <w:rPr>
          <w:rFonts w:hint="eastAsia"/>
        </w:rPr>
        <w:t>、人数参评率对比</w:t>
      </w:r>
    </w:p>
    <w:p w:rsidR="00991C78" w:rsidRDefault="00724D71" w:rsidP="00B17BBF">
      <w:pPr>
        <w:widowControl/>
        <w:adjustRightInd w:val="0"/>
        <w:snapToGrid w:val="0"/>
        <w:spacing w:line="360" w:lineRule="auto"/>
        <w:ind w:firstLineChars="200" w:firstLine="480"/>
        <w:jc w:val="left"/>
      </w:pPr>
      <w:r w:rsidRPr="00B17BBF">
        <w:rPr>
          <w:rFonts w:asciiTheme="minorEastAsia" w:hAnsiTheme="minorEastAsia" w:hint="eastAsia"/>
          <w:sz w:val="24"/>
          <w:szCs w:val="24"/>
        </w:rPr>
        <w:t>2020-2021学年第</w:t>
      </w:r>
      <w:r w:rsidR="00D62E44">
        <w:rPr>
          <w:rFonts w:asciiTheme="minorEastAsia" w:hAnsiTheme="minorEastAsia" w:hint="eastAsia"/>
          <w:sz w:val="24"/>
          <w:szCs w:val="24"/>
        </w:rPr>
        <w:t>二</w:t>
      </w:r>
      <w:r w:rsidRPr="00B17BBF">
        <w:rPr>
          <w:rFonts w:asciiTheme="minorEastAsia" w:hAnsiTheme="minorEastAsia" w:hint="eastAsia"/>
          <w:sz w:val="24"/>
          <w:szCs w:val="24"/>
        </w:rPr>
        <w:t>学期学校整体人数参评率为</w:t>
      </w:r>
      <w:r w:rsidR="00D62E44">
        <w:rPr>
          <w:rFonts w:asciiTheme="minorEastAsia" w:hAnsiTheme="minorEastAsia" w:hint="eastAsia"/>
          <w:sz w:val="24"/>
          <w:szCs w:val="24"/>
        </w:rPr>
        <w:t>82.69</w:t>
      </w:r>
      <w:r w:rsidRPr="00B17BBF">
        <w:rPr>
          <w:rFonts w:asciiTheme="minorEastAsia" w:hAnsiTheme="minorEastAsia" w:hint="eastAsia"/>
          <w:sz w:val="24"/>
          <w:szCs w:val="24"/>
        </w:rPr>
        <w:t>%，</w:t>
      </w:r>
      <w:r w:rsidR="00D62E44">
        <w:rPr>
          <w:rFonts w:asciiTheme="minorEastAsia" w:hAnsiTheme="minorEastAsia" w:hint="eastAsia"/>
          <w:sz w:val="24"/>
          <w:szCs w:val="24"/>
        </w:rPr>
        <w:t>本</w:t>
      </w:r>
      <w:r w:rsidRPr="00B17BBF">
        <w:rPr>
          <w:rFonts w:asciiTheme="minorEastAsia" w:hAnsiTheme="minorEastAsia" w:hint="eastAsia"/>
          <w:sz w:val="24"/>
          <w:szCs w:val="24"/>
        </w:rPr>
        <w:t>学期整体参评率数值提高了</w:t>
      </w:r>
      <w:r w:rsidR="00D62E44">
        <w:rPr>
          <w:rFonts w:asciiTheme="minorEastAsia" w:hAnsiTheme="minorEastAsia" w:hint="eastAsia"/>
          <w:sz w:val="24"/>
          <w:szCs w:val="24"/>
        </w:rPr>
        <w:t>1</w:t>
      </w:r>
      <w:r w:rsidRPr="00B17BBF">
        <w:rPr>
          <w:rFonts w:asciiTheme="minorEastAsia" w:hAnsiTheme="minorEastAsia" w:hint="eastAsia"/>
          <w:sz w:val="24"/>
          <w:szCs w:val="24"/>
        </w:rPr>
        <w:t>个百分点。</w:t>
      </w:r>
      <w:r w:rsidR="00257012">
        <w:br w:type="page"/>
      </w:r>
    </w:p>
    <w:p w:rsidR="009C1AF1" w:rsidRPr="005B5B48" w:rsidRDefault="009C1AF1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B5B48">
        <w:rPr>
          <w:rFonts w:asciiTheme="minorEastAsia" w:hAnsiTheme="minorEastAsia" w:hint="eastAsia"/>
          <w:sz w:val="24"/>
          <w:szCs w:val="24"/>
        </w:rPr>
        <w:lastRenderedPageBreak/>
        <w:t>二、评教得分</w:t>
      </w:r>
    </w:p>
    <w:p w:rsidR="009C1AF1" w:rsidRDefault="009C1AF1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EF6251">
        <w:rPr>
          <w:rFonts w:asciiTheme="minorEastAsia" w:hAnsiTheme="minorEastAsia" w:hint="eastAsia"/>
          <w:sz w:val="24"/>
          <w:szCs w:val="24"/>
        </w:rPr>
        <w:t>共有</w:t>
      </w:r>
      <w:r w:rsidR="00A80B68">
        <w:rPr>
          <w:rFonts w:asciiTheme="minorEastAsia" w:hAnsiTheme="minorEastAsia" w:hint="eastAsia"/>
          <w:sz w:val="24"/>
          <w:szCs w:val="24"/>
        </w:rPr>
        <w:t>972</w:t>
      </w:r>
      <w:r w:rsidRPr="00EF6251">
        <w:rPr>
          <w:rFonts w:asciiTheme="minorEastAsia" w:hAnsiTheme="minorEastAsia" w:hint="eastAsia"/>
          <w:sz w:val="24"/>
          <w:szCs w:val="24"/>
        </w:rPr>
        <w:t>位教师参与评价，整体平均分为</w:t>
      </w:r>
      <w:r w:rsidR="00A80B68">
        <w:rPr>
          <w:rFonts w:asciiTheme="minorEastAsia" w:hAnsiTheme="minorEastAsia" w:hint="eastAsia"/>
          <w:sz w:val="24"/>
          <w:szCs w:val="24"/>
        </w:rPr>
        <w:t>93.12</w:t>
      </w:r>
      <w:r w:rsidRPr="00EF6251">
        <w:rPr>
          <w:rFonts w:asciiTheme="minorEastAsia" w:hAnsiTheme="minorEastAsia" w:hint="eastAsia"/>
          <w:sz w:val="24"/>
          <w:szCs w:val="24"/>
        </w:rPr>
        <w:t>分，各教学单位教师平均得分如下图：</w:t>
      </w:r>
    </w:p>
    <w:p w:rsidR="009C1AF1" w:rsidRDefault="009C1AF1" w:rsidP="00B36FAB">
      <w:pPr>
        <w:adjustRightInd w:val="0"/>
        <w:snapToGrid w:val="0"/>
        <w:spacing w:line="360" w:lineRule="auto"/>
      </w:pPr>
    </w:p>
    <w:p w:rsidR="00F12BCB" w:rsidRDefault="00F12BCB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5272644" cy="4833257"/>
            <wp:effectExtent l="0" t="0" r="4445" b="5715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2AB" w:rsidRDefault="00D422AB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、评教得分对比</w:t>
      </w:r>
    </w:p>
    <w:p w:rsidR="00257012" w:rsidRDefault="00B17BBF" w:rsidP="00B17BB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2020-2021学年第</w:t>
      </w:r>
      <w:r w:rsidR="00D62E44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学期学校教师整体平均得分为92.83分，</w:t>
      </w:r>
      <w:r w:rsidR="00D62E44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学期整体平均得分</w:t>
      </w:r>
      <w:r w:rsidR="00D62E44">
        <w:rPr>
          <w:rFonts w:asciiTheme="minorEastAsia" w:hAnsiTheme="minorEastAsia" w:hint="eastAsia"/>
          <w:sz w:val="24"/>
          <w:szCs w:val="24"/>
        </w:rPr>
        <w:t>下降</w:t>
      </w:r>
      <w:r>
        <w:rPr>
          <w:rFonts w:asciiTheme="minorEastAsia" w:hAnsiTheme="minorEastAsia" w:hint="eastAsia"/>
          <w:sz w:val="24"/>
          <w:szCs w:val="24"/>
        </w:rPr>
        <w:t>0.</w:t>
      </w:r>
      <w:r w:rsidR="00D62E44">
        <w:rPr>
          <w:rFonts w:asciiTheme="minorEastAsia" w:hAnsiTheme="minorEastAsia" w:hint="eastAsia"/>
          <w:sz w:val="24"/>
          <w:szCs w:val="24"/>
        </w:rPr>
        <w:t>71</w:t>
      </w:r>
      <w:r>
        <w:rPr>
          <w:rFonts w:asciiTheme="minorEastAsia" w:hAnsiTheme="minorEastAsia" w:hint="eastAsia"/>
          <w:sz w:val="24"/>
          <w:szCs w:val="24"/>
        </w:rPr>
        <w:t>分。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57012">
        <w:rPr>
          <w:rFonts w:asciiTheme="minorEastAsia" w:hAnsiTheme="minorEastAsia"/>
          <w:sz w:val="24"/>
          <w:szCs w:val="24"/>
        </w:rPr>
        <w:br w:type="page"/>
      </w:r>
    </w:p>
    <w:p w:rsidR="001B1D96" w:rsidRPr="00EF6251" w:rsidRDefault="001B1D96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6251">
        <w:rPr>
          <w:rFonts w:asciiTheme="minorEastAsia" w:hAnsiTheme="minorEastAsia" w:hint="eastAsia"/>
          <w:sz w:val="24"/>
          <w:szCs w:val="24"/>
        </w:rPr>
        <w:lastRenderedPageBreak/>
        <w:t>三、评教指标分项统计</w:t>
      </w:r>
    </w:p>
    <w:p w:rsidR="00896FDB" w:rsidRPr="00B17BBF" w:rsidRDefault="00896FDB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Pr="00B17BBF">
        <w:rPr>
          <w:rFonts w:asciiTheme="minorEastAsia" w:hAnsiTheme="minorEastAsia" w:hint="eastAsia"/>
          <w:sz w:val="24"/>
          <w:szCs w:val="24"/>
        </w:rPr>
        <w:t>为避免教学单位学生数量、开课数量不同带来的影响，各指标对比时采用“指标优良率”进行统计。</w:t>
      </w:r>
    </w:p>
    <w:p w:rsidR="001B1D96" w:rsidRPr="00B17BBF" w:rsidRDefault="00896FDB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t>指标优良率=（优秀+良好）人次数/开课学院被评总人次数</w:t>
      </w:r>
    </w:p>
    <w:p w:rsidR="00C91261" w:rsidRPr="00B17BBF" w:rsidRDefault="00C91261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t>1、</w:t>
      </w:r>
      <w:r w:rsidRPr="00B17BBF">
        <w:rPr>
          <w:rFonts w:asciiTheme="minorEastAsia" w:hAnsiTheme="minorEastAsia"/>
          <w:sz w:val="24"/>
          <w:szCs w:val="24"/>
        </w:rPr>
        <w:t>线下课程：教师上课携带有关教学资料（教材、教案、讲稿等）。/线上课程：资源内容完整，类型丰富，与教学内容匹配度高。</w:t>
      </w:r>
    </w:p>
    <w:p w:rsidR="00D83559" w:rsidRDefault="00D83559" w:rsidP="00B36FAB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A80B68" w:rsidRDefault="00A80B68" w:rsidP="00660133">
      <w:pPr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 wp14:anchorId="65F8D7BA" wp14:editId="1678F7DA">
            <wp:extent cx="5272644" cy="5427023"/>
            <wp:effectExtent l="0" t="0" r="4445" b="2540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559" w:rsidRDefault="00B36FAB" w:rsidP="00B36FAB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D83559" w:rsidRPr="00424C19" w:rsidRDefault="00424C19" w:rsidP="00424C1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24C19">
        <w:rPr>
          <w:rFonts w:asciiTheme="minorEastAsia" w:hAnsiTheme="minorEastAsia" w:hint="eastAsia"/>
          <w:sz w:val="24"/>
          <w:szCs w:val="24"/>
        </w:rPr>
        <w:t>理论指标1</w:t>
      </w:r>
      <w:r w:rsidR="00D62E44" w:rsidRPr="00424C19">
        <w:rPr>
          <w:rFonts w:asciiTheme="minorEastAsia" w:hAnsiTheme="minorEastAsia" w:hint="eastAsia"/>
          <w:sz w:val="24"/>
          <w:szCs w:val="24"/>
        </w:rPr>
        <w:t>反映了教师教学准备情况</w:t>
      </w:r>
      <w:r w:rsidR="00D62E44">
        <w:rPr>
          <w:rFonts w:asciiTheme="minorEastAsia" w:hAnsiTheme="minorEastAsia" w:hint="eastAsia"/>
          <w:sz w:val="24"/>
          <w:szCs w:val="24"/>
        </w:rPr>
        <w:t>，参评教学单位平均优良率为96.86%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D62E44">
        <w:rPr>
          <w:rFonts w:asciiTheme="minorEastAsia" w:hAnsiTheme="minorEastAsia" w:hint="eastAsia"/>
          <w:sz w:val="24"/>
          <w:szCs w:val="24"/>
        </w:rPr>
        <w:t>13个参评教学单位中有4个教学单位高于均值。</w:t>
      </w:r>
    </w:p>
    <w:p w:rsidR="00D83559" w:rsidRDefault="00D83559" w:rsidP="00B36FAB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257012" w:rsidRDefault="00257012" w:rsidP="00B36FAB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B17BBF" w:rsidRDefault="005B7EA2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lastRenderedPageBreak/>
        <w:t>2、</w:t>
      </w:r>
      <w:r w:rsidRPr="00B17BBF">
        <w:rPr>
          <w:rFonts w:asciiTheme="minorEastAsia" w:hAnsiTheme="minorEastAsia"/>
          <w:sz w:val="24"/>
          <w:szCs w:val="24"/>
        </w:rPr>
        <w:t>线下课程：教师上课不迟到，不早退，不随意调（停）课；维护课堂的教学秩序。/线上课程：线上教学进度和时间安排明确并通过qq群、微信、公告等方式告知学生。不迟到、不早退，</w:t>
      </w:r>
      <w:proofErr w:type="gramStart"/>
      <w:r w:rsidRPr="00B17BBF">
        <w:rPr>
          <w:rFonts w:asciiTheme="minorEastAsia" w:hAnsiTheme="minorEastAsia"/>
          <w:sz w:val="24"/>
          <w:szCs w:val="24"/>
        </w:rPr>
        <w:t>不</w:t>
      </w:r>
      <w:proofErr w:type="gramEnd"/>
      <w:r w:rsidRPr="00B17BBF">
        <w:rPr>
          <w:rFonts w:asciiTheme="minorEastAsia" w:hAnsiTheme="minorEastAsia"/>
          <w:sz w:val="24"/>
          <w:szCs w:val="24"/>
        </w:rPr>
        <w:t>无故调（停）课，维护课堂的教学秩序。</w:t>
      </w:r>
    </w:p>
    <w:p w:rsidR="00A83476" w:rsidRDefault="00A83476" w:rsidP="00B36FAB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A80B68" w:rsidRDefault="00A80B68" w:rsidP="0066013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5F5F5"/>
        </w:rPr>
        <w:drawing>
          <wp:inline distT="0" distB="0" distL="0" distR="0" wp14:anchorId="6F3DE507" wp14:editId="348834D4">
            <wp:extent cx="5379522" cy="5605153"/>
            <wp:effectExtent l="0" t="0" r="0" b="0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3476" w:rsidRDefault="00B36FAB" w:rsidP="00B36FAB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A57E9E" w:rsidRDefault="00424C19" w:rsidP="00D62E44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424C19">
        <w:rPr>
          <w:rFonts w:asciiTheme="minorEastAsia" w:hAnsiTheme="minorEastAsia" w:hint="eastAsia"/>
          <w:sz w:val="24"/>
          <w:szCs w:val="24"/>
        </w:rPr>
        <w:t>理论指标2反映了课堂（线上、线下）教学秩序</w:t>
      </w:r>
      <w:r>
        <w:rPr>
          <w:rFonts w:asciiTheme="minorEastAsia" w:hAnsiTheme="minorEastAsia" w:hint="eastAsia"/>
          <w:sz w:val="24"/>
          <w:szCs w:val="24"/>
        </w:rPr>
        <w:t>情况。</w:t>
      </w:r>
      <w:r w:rsidR="00D62E44">
        <w:rPr>
          <w:rFonts w:asciiTheme="minorEastAsia" w:hAnsiTheme="minorEastAsia" w:hint="eastAsia"/>
          <w:sz w:val="24"/>
          <w:szCs w:val="24"/>
        </w:rPr>
        <w:t>参评教学单位平均优良率为96.8</w:t>
      </w:r>
      <w:r w:rsidR="00D62E44">
        <w:rPr>
          <w:rFonts w:asciiTheme="minorEastAsia" w:hAnsiTheme="minorEastAsia" w:hint="eastAsia"/>
          <w:sz w:val="24"/>
          <w:szCs w:val="24"/>
        </w:rPr>
        <w:t>7</w:t>
      </w:r>
      <w:r w:rsidR="00D62E44">
        <w:rPr>
          <w:rFonts w:asciiTheme="minorEastAsia" w:hAnsiTheme="minorEastAsia" w:hint="eastAsia"/>
          <w:sz w:val="24"/>
          <w:szCs w:val="24"/>
        </w:rPr>
        <w:t>%。13个参评教学单位中有</w:t>
      </w:r>
      <w:r w:rsidR="00D62E44">
        <w:rPr>
          <w:rFonts w:asciiTheme="minorEastAsia" w:hAnsiTheme="minorEastAsia" w:hint="eastAsia"/>
          <w:sz w:val="24"/>
          <w:szCs w:val="24"/>
        </w:rPr>
        <w:t>6</w:t>
      </w:r>
      <w:r w:rsidR="00D62E44">
        <w:rPr>
          <w:rFonts w:asciiTheme="minorEastAsia" w:hAnsiTheme="minorEastAsia" w:hint="eastAsia"/>
          <w:sz w:val="24"/>
          <w:szCs w:val="24"/>
        </w:rPr>
        <w:t>个教学单位高于均值。</w:t>
      </w:r>
    </w:p>
    <w:p w:rsidR="00D62E44" w:rsidRDefault="00D62E44" w:rsidP="00D62E44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62E44" w:rsidRDefault="00D62E44" w:rsidP="00D62E44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62E44" w:rsidRDefault="00D62E44" w:rsidP="00D62E44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62E44" w:rsidRDefault="00D62E44" w:rsidP="00D62E44">
      <w:pPr>
        <w:widowControl/>
        <w:spacing w:line="360" w:lineRule="auto"/>
        <w:ind w:firstLineChars="200" w:firstLine="420"/>
        <w:jc w:val="left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5B7EA2" w:rsidRDefault="005B7EA2" w:rsidP="00D62E44">
      <w:pPr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3、</w:t>
      </w:r>
      <w:r w:rsidRPr="00D5441C">
        <w:rPr>
          <w:rFonts w:asciiTheme="minorEastAsia" w:hAnsiTheme="minorEastAsia"/>
          <w:sz w:val="24"/>
          <w:szCs w:val="24"/>
        </w:rPr>
        <w:t>线下课程：教师上课普通话标准、流畅，声音宏亮，板书工整。/线上课程：使用符合课程需求的教学平台，音画同步，运行流畅。出现问题时有应急方案。</w:t>
      </w:r>
    </w:p>
    <w:p w:rsidR="00031E0C" w:rsidRDefault="00031E0C" w:rsidP="00A57E9E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2B0C58" w:rsidRDefault="002B0C58" w:rsidP="00660133">
      <w:pPr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 wp14:anchorId="227D341F" wp14:editId="38454CEC">
            <wp:extent cx="5272644" cy="5296394"/>
            <wp:effectExtent l="0" t="0" r="4445" b="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1E0C" w:rsidRDefault="00A57E9E" w:rsidP="00A57E9E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D5441C" w:rsidP="00D5441C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</w:t>
      </w:r>
      <w:r w:rsidRPr="00D5441C">
        <w:rPr>
          <w:rFonts w:asciiTheme="minorEastAsia" w:hAnsiTheme="minorEastAsia" w:hint="eastAsia"/>
          <w:sz w:val="24"/>
          <w:szCs w:val="24"/>
        </w:rPr>
        <w:t>理论指标3反映了教师在教学中的普通话、板书水平（线上课程为平台选用及设备调试情况）</w:t>
      </w:r>
      <w:r w:rsidR="00B01E79">
        <w:rPr>
          <w:rFonts w:asciiTheme="minorEastAsia" w:hAnsiTheme="minorEastAsia" w:hint="eastAsia"/>
          <w:sz w:val="24"/>
          <w:szCs w:val="24"/>
        </w:rPr>
        <w:t>，以及对问题的应变能力</w:t>
      </w:r>
      <w:r w:rsidR="00D62E44">
        <w:rPr>
          <w:rFonts w:asciiTheme="minorEastAsia" w:hAnsiTheme="minorEastAsia" w:hint="eastAsia"/>
          <w:sz w:val="24"/>
          <w:szCs w:val="24"/>
        </w:rPr>
        <w:t>，</w:t>
      </w:r>
      <w:r w:rsidR="00D62E44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D62E44">
        <w:rPr>
          <w:rFonts w:asciiTheme="minorEastAsia" w:hAnsiTheme="minorEastAsia" w:hint="eastAsia"/>
          <w:sz w:val="24"/>
          <w:szCs w:val="24"/>
        </w:rPr>
        <w:t>45</w:t>
      </w:r>
      <w:r w:rsidR="00D62E44">
        <w:rPr>
          <w:rFonts w:asciiTheme="minorEastAsia" w:hAnsiTheme="minorEastAsia" w:hint="eastAsia"/>
          <w:sz w:val="24"/>
          <w:szCs w:val="24"/>
        </w:rPr>
        <w:t>%。13个参评教学单位中有4个教学单位高于均值。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4、</w:t>
      </w:r>
      <w:r w:rsidRPr="00D5441C">
        <w:rPr>
          <w:rFonts w:asciiTheme="minorEastAsia" w:hAnsiTheme="minorEastAsia"/>
          <w:sz w:val="24"/>
          <w:szCs w:val="24"/>
        </w:rPr>
        <w:t>线下课程：教师认真做好辅导和答疑，对我们的作业批改认真、及时。/线下课程：利用平台推送教学资源，引导学生自主学习。合理安排作业，在线辅导反馈及时。</w:t>
      </w:r>
    </w:p>
    <w:p w:rsidR="001B76F0" w:rsidRDefault="001B76F0" w:rsidP="00A57E9E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660133" w:rsidRDefault="00660133" w:rsidP="00D5441C">
      <w:pPr>
        <w:widowControl/>
        <w:spacing w:afterLines="50" w:after="156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5F5F5"/>
        </w:rPr>
        <w:drawing>
          <wp:inline distT="0" distB="0" distL="0" distR="0">
            <wp:extent cx="5415148" cy="5225143"/>
            <wp:effectExtent l="0" t="0" r="0" b="0"/>
            <wp:docPr id="24" name="图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1C78" w:rsidRDefault="00991C78" w:rsidP="00D5441C">
      <w:pPr>
        <w:widowControl/>
        <w:spacing w:afterLines="50" w:after="156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991C78" w:rsidRPr="00D5441C" w:rsidRDefault="00D5441C" w:rsidP="00D62E44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t>理论指标4反映了教师布置作业，批改及反馈的情况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D62E44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D62E44">
        <w:rPr>
          <w:rFonts w:asciiTheme="minorEastAsia" w:hAnsiTheme="minorEastAsia" w:hint="eastAsia"/>
          <w:sz w:val="24"/>
          <w:szCs w:val="24"/>
        </w:rPr>
        <w:t>3</w:t>
      </w:r>
      <w:r w:rsidR="00D62E44">
        <w:rPr>
          <w:rFonts w:asciiTheme="minorEastAsia" w:hAnsiTheme="minorEastAsia" w:hint="eastAsia"/>
          <w:sz w:val="24"/>
          <w:szCs w:val="24"/>
        </w:rPr>
        <w:t>6%。13个参评教学单位中有4个教学单位高于均值。</w:t>
      </w: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549F" w:rsidRDefault="00EF549F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5、</w:t>
      </w:r>
      <w:r w:rsidRPr="00D5441C">
        <w:rPr>
          <w:rFonts w:asciiTheme="minorEastAsia" w:hAnsiTheme="minorEastAsia"/>
          <w:sz w:val="24"/>
          <w:szCs w:val="24"/>
        </w:rPr>
        <w:t>教师的教学方法和手段灵活，切合教学内容。线上教学能够充分运用网络信息技术和在线课程资源，发挥网络教学优势。注意因材施教，快慢适中</w:t>
      </w:r>
      <w:r w:rsidRPr="00D5441C">
        <w:rPr>
          <w:rFonts w:asciiTheme="minorEastAsia" w:hAnsiTheme="minorEastAsia" w:hint="eastAsia"/>
          <w:sz w:val="24"/>
          <w:szCs w:val="24"/>
        </w:rPr>
        <w:t>。</w:t>
      </w:r>
    </w:p>
    <w:p w:rsidR="002F3F00" w:rsidRDefault="002F3F00" w:rsidP="00991C78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660133" w:rsidRDefault="00660133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343896" cy="5237019"/>
            <wp:effectExtent l="0" t="0" r="0" b="1905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E79" w:rsidRDefault="00991C78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7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B01E79" w:rsidP="00B01E79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 </w:t>
      </w:r>
      <w:r w:rsidRPr="00B01E79">
        <w:rPr>
          <w:rFonts w:asciiTheme="minorEastAsia" w:hAnsiTheme="minorEastAsia" w:hint="eastAsia"/>
          <w:sz w:val="24"/>
          <w:szCs w:val="24"/>
        </w:rPr>
        <w:t>理论指标5反映教师在教学活动中的教学手段、方法及内容进度安排合理程度。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34</w:t>
      </w:r>
      <w:r w:rsidR="00EF549F">
        <w:rPr>
          <w:rFonts w:asciiTheme="minorEastAsia" w:hAnsiTheme="minorEastAsia" w:hint="eastAsia"/>
          <w:sz w:val="24"/>
          <w:szCs w:val="24"/>
        </w:rPr>
        <w:t>%。13个参评教学单位中有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5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6、</w:t>
      </w:r>
      <w:r w:rsidRPr="00D5441C">
        <w:rPr>
          <w:rFonts w:asciiTheme="minorEastAsia" w:hAnsiTheme="minorEastAsia"/>
          <w:sz w:val="24"/>
          <w:szCs w:val="24"/>
        </w:rPr>
        <w:t>教师注意与我们的交流沟通。听取我们对教学情况的反馈意见，不断改进教学方法。</w:t>
      </w:r>
    </w:p>
    <w:p w:rsidR="00FD632E" w:rsidRDefault="00FD632E" w:rsidP="00991C78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660133" w:rsidRDefault="00660133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272644" cy="5023263"/>
            <wp:effectExtent l="0" t="0" r="4445" b="6350"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E79" w:rsidRDefault="00991C78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8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B01E79" w:rsidP="00B01E79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     </w:t>
      </w:r>
      <w:r w:rsidRPr="00B01E79">
        <w:rPr>
          <w:rFonts w:asciiTheme="minorEastAsia" w:hAnsiTheme="minorEastAsia" w:hint="eastAsia"/>
          <w:sz w:val="24"/>
          <w:szCs w:val="24"/>
        </w:rPr>
        <w:t>理论指标6反映教师与学生的沟通交流及对教学方法的调整、改进情况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03</w:t>
      </w:r>
      <w:r w:rsidR="00EF549F">
        <w:rPr>
          <w:rFonts w:asciiTheme="minorEastAsia" w:hAnsiTheme="minorEastAsia" w:hint="eastAsia"/>
          <w:sz w:val="24"/>
          <w:szCs w:val="24"/>
        </w:rPr>
        <w:t>%。13个参评教学单位中有4个教学单位高于均值。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7、</w:t>
      </w:r>
      <w:r w:rsidRPr="00D5441C">
        <w:rPr>
          <w:rFonts w:asciiTheme="minorEastAsia" w:hAnsiTheme="minorEastAsia"/>
          <w:sz w:val="24"/>
          <w:szCs w:val="24"/>
        </w:rPr>
        <w:t>教师积极调动我们学习兴趣，鼓励我们提出问题，发表个人观点并开展讨论。</w:t>
      </w:r>
    </w:p>
    <w:p w:rsidR="00932DAD" w:rsidRDefault="00932DAD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272644" cy="5569528"/>
            <wp:effectExtent l="0" t="0" r="4445" b="0"/>
            <wp:docPr id="27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6477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9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7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8E6477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</w:t>
      </w:r>
      <w:r w:rsidRPr="008E6477">
        <w:rPr>
          <w:rFonts w:asciiTheme="minorEastAsia" w:hAnsiTheme="minorEastAsia" w:hint="eastAsia"/>
          <w:sz w:val="24"/>
          <w:szCs w:val="24"/>
        </w:rPr>
        <w:t>理论指标7反映教师在教学活动中是否做到了启发式教学，</w:t>
      </w:r>
      <w:r>
        <w:rPr>
          <w:rFonts w:asciiTheme="minorEastAsia" w:hAnsiTheme="minorEastAsia" w:hint="eastAsia"/>
          <w:sz w:val="24"/>
          <w:szCs w:val="24"/>
        </w:rPr>
        <w:t>是否鼓励学生提出问题并</w:t>
      </w:r>
      <w:proofErr w:type="gramStart"/>
      <w:r>
        <w:rPr>
          <w:rFonts w:asciiTheme="minorEastAsia" w:hAnsiTheme="minorEastAsia" w:hint="eastAsia"/>
          <w:sz w:val="24"/>
          <w:szCs w:val="24"/>
        </w:rPr>
        <w:t>作出</w:t>
      </w:r>
      <w:proofErr w:type="gramEnd"/>
      <w:r>
        <w:rPr>
          <w:rFonts w:asciiTheme="minorEastAsia" w:hAnsiTheme="minorEastAsia" w:hint="eastAsia"/>
          <w:sz w:val="24"/>
          <w:szCs w:val="24"/>
        </w:rPr>
        <w:t>良好的引导。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16</w:t>
      </w:r>
      <w:r w:rsidR="00EF549F">
        <w:rPr>
          <w:rFonts w:asciiTheme="minorEastAsia" w:hAnsiTheme="minorEastAsia" w:hint="eastAsia"/>
          <w:sz w:val="24"/>
          <w:szCs w:val="24"/>
        </w:rPr>
        <w:t>%。13个参评教学单位中有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5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8、</w:t>
      </w:r>
      <w:r w:rsidRPr="00D5441C">
        <w:rPr>
          <w:rFonts w:asciiTheme="minorEastAsia" w:hAnsiTheme="minorEastAsia"/>
          <w:sz w:val="24"/>
          <w:szCs w:val="24"/>
        </w:rPr>
        <w:t>通过教师的教学，我们基本掌握本课程的理论知识和基本技能，并对本课程的知识体系有系统的认识。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569527" cy="5522026"/>
            <wp:effectExtent l="0" t="0" r="0" b="2540"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6477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10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8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8E6477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</w:t>
      </w:r>
      <w:r w:rsidRPr="008E6477">
        <w:rPr>
          <w:rFonts w:asciiTheme="minorEastAsia" w:hAnsiTheme="minorEastAsia" w:hint="eastAsia"/>
          <w:sz w:val="24"/>
          <w:szCs w:val="24"/>
        </w:rPr>
        <w:t>理论指标8反映了教师的教学效果。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30</w:t>
      </w:r>
      <w:r w:rsidR="00EF549F">
        <w:rPr>
          <w:rFonts w:asciiTheme="minorEastAsia" w:hAnsiTheme="minorEastAsia" w:hint="eastAsia"/>
          <w:sz w:val="24"/>
          <w:szCs w:val="24"/>
        </w:rPr>
        <w:t>%。13个参评教学单位中有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6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9、</w:t>
      </w:r>
      <w:r w:rsidRPr="00D5441C">
        <w:rPr>
          <w:rFonts w:asciiTheme="minorEastAsia" w:hAnsiTheme="minorEastAsia"/>
          <w:sz w:val="24"/>
          <w:szCs w:val="24"/>
        </w:rPr>
        <w:t>教学中始终坚持立德树人的教育理念，能够将“课程思政”元素有效融入教学内容，有助于我们构建正确的世界观、人生观、价值观。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 wp14:anchorId="4EBD5586" wp14:editId="5086CFF8">
            <wp:extent cx="5332021" cy="5106390"/>
            <wp:effectExtent l="0" t="0" r="2540" b="0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A0C1C" w:rsidRDefault="003A0C1C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730651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11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9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730651" w:rsidRDefault="004E17E4" w:rsidP="004E17E4">
      <w:pPr>
        <w:widowControl/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4E17E4">
        <w:rPr>
          <w:rFonts w:asciiTheme="minorEastAsia" w:hAnsiTheme="minorEastAsia" w:hint="eastAsia"/>
          <w:sz w:val="24"/>
          <w:szCs w:val="24"/>
        </w:rPr>
        <w:t>理论指标9反映了教师对于教学活动“立德树人”理念的执行，</w:t>
      </w:r>
      <w:proofErr w:type="gramStart"/>
      <w:r w:rsidRPr="004E17E4">
        <w:rPr>
          <w:rFonts w:asciiTheme="minorEastAsia" w:hAnsiTheme="minorEastAsia" w:hint="eastAsia"/>
          <w:sz w:val="24"/>
          <w:szCs w:val="24"/>
        </w:rPr>
        <w:t>课程思政的</w:t>
      </w:r>
      <w:proofErr w:type="gramEnd"/>
      <w:r w:rsidRPr="004E17E4">
        <w:rPr>
          <w:rFonts w:asciiTheme="minorEastAsia" w:hAnsiTheme="minorEastAsia" w:hint="eastAsia"/>
          <w:sz w:val="24"/>
          <w:szCs w:val="24"/>
        </w:rPr>
        <w:t>建设情况。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参评教学单位平均优良率为96.8</w:t>
      </w:r>
      <w:r w:rsidR="00EF549F">
        <w:rPr>
          <w:rFonts w:asciiTheme="minorEastAsia" w:hAnsiTheme="minorEastAsia" w:hint="eastAsia"/>
          <w:sz w:val="24"/>
          <w:szCs w:val="24"/>
        </w:rPr>
        <w:t>0</w:t>
      </w:r>
      <w:r w:rsidR="00EF549F">
        <w:rPr>
          <w:rFonts w:asciiTheme="minorEastAsia" w:hAnsiTheme="minorEastAsia" w:hint="eastAsia"/>
          <w:sz w:val="24"/>
          <w:szCs w:val="24"/>
        </w:rPr>
        <w:t>%。13个参评教学单位中有4个教学单位高于均值。</w:t>
      </w:r>
    </w:p>
    <w:p w:rsidR="00730651" w:rsidRDefault="00730651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257012" w:rsidRDefault="00257012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10、</w:t>
      </w:r>
      <w:r w:rsidRPr="00D5441C">
        <w:rPr>
          <w:rFonts w:asciiTheme="minorEastAsia" w:hAnsiTheme="minorEastAsia"/>
          <w:sz w:val="24"/>
          <w:szCs w:val="24"/>
        </w:rPr>
        <w:t>有实验教材或实验指导书（实践类课程根据内容有相应指导材料)，合理安排预习任务，帮助学生明确实验（实践）项目内容。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ED2FE6" w:rsidRDefault="00ED2FE6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5F5F5"/>
        </w:rPr>
        <w:drawing>
          <wp:inline distT="0" distB="0" distL="0" distR="0">
            <wp:extent cx="5343896" cy="4868884"/>
            <wp:effectExtent l="0" t="0" r="0" b="8255"/>
            <wp:docPr id="30" name="图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17E4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12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5F5F5"/>
        </w:rPr>
        <w:t>实验（实践）指标</w:t>
      </w:r>
      <w:r w:rsidR="00730651">
        <w:rPr>
          <w:rFonts w:ascii="Helvetica" w:hAnsi="Helvetica" w:cs="Helvetica" w:hint="eastAsia"/>
          <w:color w:val="333333"/>
          <w:szCs w:val="21"/>
          <w:shd w:val="clear" w:color="auto" w:fill="F5F5F5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257012" w:rsidRDefault="00EF352B" w:rsidP="004E17E4">
      <w:pPr>
        <w:widowControl/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Theme="minorEastAsia" w:hAnsiTheme="minorEastAsia" w:hint="eastAsia"/>
          <w:sz w:val="24"/>
          <w:szCs w:val="24"/>
        </w:rPr>
        <w:t>实验（实践）指标</w:t>
      </w:r>
      <w:r w:rsidR="004E17E4" w:rsidRPr="004E17E4">
        <w:rPr>
          <w:rFonts w:asciiTheme="minorEastAsia" w:hAnsiTheme="minorEastAsia" w:hint="eastAsia"/>
          <w:sz w:val="24"/>
          <w:szCs w:val="24"/>
        </w:rPr>
        <w:t>1反映</w:t>
      </w:r>
      <w:r w:rsidR="004E17E4">
        <w:rPr>
          <w:rFonts w:asciiTheme="minorEastAsia" w:hAnsiTheme="minorEastAsia" w:hint="eastAsia"/>
          <w:sz w:val="24"/>
          <w:szCs w:val="24"/>
        </w:rPr>
        <w:t>实验（实践）课程的指导用书是否齐备，课前指导（预习）是否开展。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64</w:t>
      </w:r>
      <w:r w:rsidR="00EF549F">
        <w:rPr>
          <w:rFonts w:asciiTheme="minorEastAsia" w:hAnsiTheme="minorEastAsia" w:hint="eastAsia"/>
          <w:sz w:val="24"/>
          <w:szCs w:val="24"/>
        </w:rPr>
        <w:t>%。1</w:t>
      </w:r>
      <w:r w:rsidR="00EF549F">
        <w:rPr>
          <w:rFonts w:asciiTheme="minorEastAsia" w:hAnsiTheme="minorEastAsia" w:hint="eastAsia"/>
          <w:sz w:val="24"/>
          <w:szCs w:val="24"/>
        </w:rPr>
        <w:t>2</w:t>
      </w:r>
      <w:r w:rsidR="00EF549F">
        <w:rPr>
          <w:rFonts w:asciiTheme="minorEastAsia" w:hAnsiTheme="minorEastAsia" w:hint="eastAsia"/>
          <w:sz w:val="24"/>
          <w:szCs w:val="24"/>
        </w:rPr>
        <w:t>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6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5F5F5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11、</w:t>
      </w:r>
      <w:r w:rsidRPr="00D5441C">
        <w:rPr>
          <w:rFonts w:asciiTheme="minorEastAsia" w:hAnsiTheme="minorEastAsia"/>
          <w:sz w:val="24"/>
          <w:szCs w:val="24"/>
        </w:rPr>
        <w:t>实验（实践）设备能够安全稳定运行，实验（实践）器具及材料齐备。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3A0C1C" w:rsidRDefault="003A0C1C" w:rsidP="003A0C1C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 wp14:anchorId="0805FCD4" wp14:editId="68C108E9">
            <wp:extent cx="5332021" cy="5213268"/>
            <wp:effectExtent l="0" t="0" r="2540" b="69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37BC" w:rsidRDefault="00730651" w:rsidP="00730651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13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EF352B" w:rsidRPr="00EF352B" w:rsidRDefault="00EF352B" w:rsidP="00EF352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实验（实践）指标</w:t>
      </w:r>
      <w:r w:rsidRPr="00EF352B">
        <w:rPr>
          <w:rFonts w:asciiTheme="minorEastAsia" w:hAnsiTheme="minorEastAsia" w:hint="eastAsia"/>
          <w:sz w:val="24"/>
          <w:szCs w:val="24"/>
        </w:rPr>
        <w:t>2反映实验室硬件的是否安全稳定、齐备等情况</w:t>
      </w:r>
      <w:r>
        <w:rPr>
          <w:rFonts w:asciiTheme="minorEastAsia" w:hAnsiTheme="minorEastAsia" w:hint="eastAsia"/>
          <w:sz w:val="24"/>
          <w:szCs w:val="24"/>
        </w:rPr>
        <w:t>。硬件的良好稳定是实验（实践）活动正常开展的基础，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39</w:t>
      </w:r>
      <w:r w:rsidR="00EF549F">
        <w:rPr>
          <w:rFonts w:asciiTheme="minorEastAsia" w:hAnsiTheme="minorEastAsia" w:hint="eastAsia"/>
          <w:sz w:val="24"/>
          <w:szCs w:val="24"/>
        </w:rPr>
        <w:t>%。12个参评教学单位中有6个教学单位高于均值。</w:t>
      </w:r>
    </w:p>
    <w:p w:rsidR="00257012" w:rsidRDefault="00257012" w:rsidP="00B36FAB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12、</w:t>
      </w:r>
      <w:r w:rsidRPr="00D5441C">
        <w:rPr>
          <w:rFonts w:asciiTheme="minorEastAsia" w:hAnsiTheme="minorEastAsia"/>
          <w:sz w:val="24"/>
          <w:szCs w:val="24"/>
        </w:rPr>
        <w:t>教师对实验（实践）的要求和目的讲解清楚，明确实验（实践）注意事项，安全及纪律要求。能够指导学生按照操作规范正确使用仪器设备。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3A0C1C" w:rsidRDefault="003A0C1C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272644" cy="5165767"/>
            <wp:effectExtent l="0" t="0" r="4445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F352B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14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9F9F9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EF352B" w:rsidP="00EF352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Theme="minorEastAsia" w:hAnsiTheme="minorEastAsia" w:hint="eastAsia"/>
          <w:sz w:val="24"/>
          <w:szCs w:val="24"/>
        </w:rPr>
        <w:t>实验（实践）指标</w:t>
      </w:r>
      <w:r w:rsidRPr="00EF352B">
        <w:rPr>
          <w:rFonts w:asciiTheme="minorEastAsia" w:hAnsiTheme="minorEastAsia" w:hint="eastAsia"/>
          <w:sz w:val="24"/>
          <w:szCs w:val="24"/>
        </w:rPr>
        <w:t>3</w:t>
      </w:r>
      <w:r w:rsidR="007B7CB7">
        <w:rPr>
          <w:rFonts w:asciiTheme="minorEastAsia" w:hAnsiTheme="minorEastAsia" w:hint="eastAsia"/>
          <w:sz w:val="24"/>
          <w:szCs w:val="24"/>
        </w:rPr>
        <w:t>反映教师在实验（实践）活动开始</w:t>
      </w:r>
      <w:proofErr w:type="gramStart"/>
      <w:r w:rsidR="007B7CB7">
        <w:rPr>
          <w:rFonts w:asciiTheme="minorEastAsia" w:hAnsiTheme="minorEastAsia" w:hint="eastAsia"/>
          <w:sz w:val="24"/>
          <w:szCs w:val="24"/>
        </w:rPr>
        <w:t>前对于</w:t>
      </w:r>
      <w:proofErr w:type="gramEnd"/>
      <w:r w:rsidR="007B7CB7">
        <w:rPr>
          <w:rFonts w:asciiTheme="minorEastAsia" w:hAnsiTheme="minorEastAsia" w:hint="eastAsia"/>
          <w:sz w:val="24"/>
          <w:szCs w:val="24"/>
        </w:rPr>
        <w:t>学生的安全教育、注意事项的讲解、强调情况。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48</w:t>
      </w:r>
      <w:r w:rsidR="00EF549F">
        <w:rPr>
          <w:rFonts w:asciiTheme="minorEastAsia" w:hAnsiTheme="minorEastAsia" w:hint="eastAsia"/>
          <w:sz w:val="24"/>
          <w:szCs w:val="24"/>
        </w:rPr>
        <w:t>%。12个参评教学单位中有6个教学单位高于均值。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13、</w:t>
      </w:r>
      <w:r w:rsidRPr="00D5441C">
        <w:rPr>
          <w:rFonts w:asciiTheme="minorEastAsia" w:hAnsiTheme="minorEastAsia"/>
          <w:sz w:val="24"/>
          <w:szCs w:val="24"/>
        </w:rPr>
        <w:t>严格按照规定的分组人数进行实验（实践）。教师不随意缩减教学时间，</w:t>
      </w:r>
      <w:proofErr w:type="gramStart"/>
      <w:r w:rsidRPr="00D5441C">
        <w:rPr>
          <w:rFonts w:asciiTheme="minorEastAsia" w:hAnsiTheme="minorEastAsia"/>
          <w:sz w:val="24"/>
          <w:szCs w:val="24"/>
        </w:rPr>
        <w:t>不</w:t>
      </w:r>
      <w:proofErr w:type="gramEnd"/>
      <w:r w:rsidRPr="00D5441C">
        <w:rPr>
          <w:rFonts w:asciiTheme="minorEastAsia" w:hAnsiTheme="minorEastAsia"/>
          <w:sz w:val="24"/>
          <w:szCs w:val="24"/>
        </w:rPr>
        <w:t>无故离开教学场所。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3A0C1C" w:rsidRDefault="003A0C1C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355772" cy="5011387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15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75021C" w:rsidP="0075021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75021C">
        <w:rPr>
          <w:rFonts w:asciiTheme="minorEastAsia" w:hAnsiTheme="minorEastAsia" w:hint="eastAsia"/>
          <w:sz w:val="24"/>
          <w:szCs w:val="24"/>
        </w:rPr>
        <w:t>实验（实践）指标4反映了教学活动规范性。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29</w:t>
      </w:r>
      <w:r w:rsidR="00EF549F">
        <w:rPr>
          <w:rFonts w:asciiTheme="minorEastAsia" w:hAnsiTheme="minorEastAsia" w:hint="eastAsia"/>
          <w:sz w:val="24"/>
          <w:szCs w:val="24"/>
        </w:rPr>
        <w:t>%。12个参评教学单位中有6个教学单位高于均值。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14、</w:t>
      </w:r>
      <w:r w:rsidRPr="00D5441C">
        <w:rPr>
          <w:rFonts w:asciiTheme="minorEastAsia" w:hAnsiTheme="minorEastAsia"/>
          <w:sz w:val="24"/>
          <w:szCs w:val="24"/>
        </w:rPr>
        <w:t>让我们独立完成实验（实践）,重视培养我们的观察能力，分析、解决问题的能力。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E65757" w:rsidRDefault="00E65757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9F9F9"/>
        </w:rPr>
        <w:drawing>
          <wp:inline distT="0" distB="0" distL="0" distR="0">
            <wp:extent cx="5355772" cy="528452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16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9F9F9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75021C" w:rsidP="0075021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75021C">
        <w:rPr>
          <w:rFonts w:asciiTheme="minorEastAsia" w:hAnsiTheme="minorEastAsia" w:hint="eastAsia"/>
          <w:sz w:val="24"/>
          <w:szCs w:val="24"/>
        </w:rPr>
        <w:t>实验（实践）指标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75021C">
        <w:rPr>
          <w:rFonts w:asciiTheme="minorEastAsia" w:hAnsiTheme="minorEastAsia" w:hint="eastAsia"/>
          <w:sz w:val="24"/>
          <w:szCs w:val="24"/>
        </w:rPr>
        <w:t>反映了</w:t>
      </w:r>
      <w:r>
        <w:rPr>
          <w:rFonts w:asciiTheme="minorEastAsia" w:hAnsiTheme="minorEastAsia" w:hint="eastAsia"/>
          <w:sz w:val="24"/>
          <w:szCs w:val="24"/>
        </w:rPr>
        <w:t>教师对学生的分析、观察能力培养等</w:t>
      </w:r>
      <w:r w:rsidRPr="0075021C"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效果</w:t>
      </w:r>
      <w:r w:rsidRPr="0075021C">
        <w:rPr>
          <w:rFonts w:asciiTheme="minorEastAsia" w:hAnsiTheme="minorEastAsia" w:hint="eastAsia"/>
          <w:sz w:val="24"/>
          <w:szCs w:val="24"/>
        </w:rPr>
        <w:t>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19</w:t>
      </w:r>
      <w:r w:rsidR="00EF549F">
        <w:rPr>
          <w:rFonts w:asciiTheme="minorEastAsia" w:hAnsiTheme="minorEastAsia" w:hint="eastAsia"/>
          <w:sz w:val="24"/>
          <w:szCs w:val="24"/>
        </w:rPr>
        <w:t>%。12个参评教学单位中有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7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15、</w:t>
      </w:r>
      <w:r w:rsidRPr="00D5441C">
        <w:rPr>
          <w:rFonts w:asciiTheme="minorEastAsia" w:hAnsiTheme="minorEastAsia"/>
          <w:sz w:val="24"/>
          <w:szCs w:val="24"/>
        </w:rPr>
        <w:t>注重实验（实践）的过程管理和指导，对学生进行设备操作、试剂配制、数据处理、方案设计、图纸绘制等方面的训练，能够及时发现学生在实验（实践）活动中的问题并纠正。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E65757" w:rsidRDefault="00E65757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272644" cy="5130140"/>
            <wp:effectExtent l="0" t="0" r="4445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17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75021C" w:rsidP="0075021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75021C">
        <w:rPr>
          <w:rFonts w:asciiTheme="minorEastAsia" w:hAnsiTheme="minorEastAsia" w:hint="eastAsia"/>
          <w:sz w:val="24"/>
          <w:szCs w:val="24"/>
        </w:rPr>
        <w:t>实验（实践）指标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75021C">
        <w:rPr>
          <w:rFonts w:asciiTheme="minorEastAsia" w:hAnsiTheme="minorEastAsia" w:hint="eastAsia"/>
          <w:sz w:val="24"/>
          <w:szCs w:val="24"/>
        </w:rPr>
        <w:t>反映了</w:t>
      </w:r>
      <w:r>
        <w:rPr>
          <w:rFonts w:asciiTheme="minorEastAsia" w:hAnsiTheme="minorEastAsia" w:hint="eastAsia"/>
          <w:sz w:val="24"/>
          <w:szCs w:val="24"/>
        </w:rPr>
        <w:t>教师对学生的操作、制图能力培养等</w:t>
      </w:r>
      <w:r w:rsidRPr="0075021C"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效果</w:t>
      </w:r>
      <w:r w:rsidRPr="0075021C">
        <w:rPr>
          <w:rFonts w:asciiTheme="minorEastAsia" w:hAnsiTheme="minorEastAsia" w:hint="eastAsia"/>
          <w:sz w:val="24"/>
          <w:szCs w:val="24"/>
        </w:rPr>
        <w:t>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26</w:t>
      </w:r>
      <w:r w:rsidR="00EF549F">
        <w:rPr>
          <w:rFonts w:asciiTheme="minorEastAsia" w:hAnsiTheme="minorEastAsia" w:hint="eastAsia"/>
          <w:sz w:val="24"/>
          <w:szCs w:val="24"/>
        </w:rPr>
        <w:t>%。12个参评教学单位中有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5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  <w:r w:rsidR="00257012"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9337BC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16、</w:t>
      </w:r>
      <w:r w:rsidRPr="00D5441C">
        <w:rPr>
          <w:rFonts w:asciiTheme="minorEastAsia" w:hAnsiTheme="minorEastAsia"/>
          <w:sz w:val="24"/>
          <w:szCs w:val="24"/>
        </w:rPr>
        <w:t>引导学生在实验（实践）中积极思考，对于学生提出的问题及时解答。实验报告、实践课程作业批阅认真。</w:t>
      </w:r>
    </w:p>
    <w:p w:rsidR="00B86522" w:rsidRDefault="00B86522" w:rsidP="00724D71">
      <w:pPr>
        <w:adjustRightInd w:val="0"/>
        <w:snapToGrid w:val="0"/>
        <w:spacing w:line="360" w:lineRule="auto"/>
      </w:pPr>
    </w:p>
    <w:p w:rsidR="00E65757" w:rsidRDefault="00E65757" w:rsidP="00724D71">
      <w:pPr>
        <w:adjustRightInd w:val="0"/>
        <w:snapToGrid w:val="0"/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5272644" cy="5343896"/>
            <wp:effectExtent l="0" t="0" r="4445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Start w:id="0" w:name="_GoBack"/>
      <w:bookmarkEnd w:id="0"/>
    </w:p>
    <w:p w:rsidR="00724D71" w:rsidRDefault="00724D71" w:rsidP="00724D71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18</w:t>
      </w:r>
      <w:r>
        <w:rPr>
          <w:rFonts w:hint="eastAsia"/>
        </w:rPr>
        <w:t>、</w:t>
      </w:r>
      <w:r w:rsidR="00EF352B">
        <w:rPr>
          <w:rFonts w:hint="eastAsia"/>
        </w:rPr>
        <w:t>实验（实践）指标</w:t>
      </w:r>
      <w:r>
        <w:rPr>
          <w:rFonts w:hint="eastAsia"/>
        </w:rPr>
        <w:t>7</w:t>
      </w:r>
      <w:r>
        <w:rPr>
          <w:rFonts w:hint="eastAsia"/>
        </w:rPr>
        <w:t>优良率对比</w:t>
      </w:r>
    </w:p>
    <w:p w:rsidR="0075021C" w:rsidRPr="00B86522" w:rsidRDefault="0075021C" w:rsidP="0075021C">
      <w:pPr>
        <w:adjustRightInd w:val="0"/>
        <w:snapToGrid w:val="0"/>
        <w:spacing w:line="360" w:lineRule="auto"/>
        <w:ind w:firstLineChars="200" w:firstLine="480"/>
        <w:jc w:val="left"/>
      </w:pPr>
      <w:r w:rsidRPr="0075021C">
        <w:rPr>
          <w:rFonts w:asciiTheme="minorEastAsia" w:hAnsiTheme="minorEastAsia" w:hint="eastAsia"/>
          <w:sz w:val="24"/>
          <w:szCs w:val="24"/>
        </w:rPr>
        <w:t>实验（实践）指标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75021C">
        <w:rPr>
          <w:rFonts w:asciiTheme="minorEastAsia" w:hAnsiTheme="minorEastAsia" w:hint="eastAsia"/>
          <w:sz w:val="24"/>
          <w:szCs w:val="24"/>
        </w:rPr>
        <w:t>反映了</w:t>
      </w:r>
      <w:r>
        <w:rPr>
          <w:rFonts w:asciiTheme="minorEastAsia" w:hAnsiTheme="minorEastAsia" w:hint="eastAsia"/>
          <w:sz w:val="24"/>
          <w:szCs w:val="24"/>
        </w:rPr>
        <w:t>教师对学生的作业批改，问题反馈等情况</w:t>
      </w:r>
      <w:r w:rsidRPr="0075021C">
        <w:rPr>
          <w:rFonts w:asciiTheme="minorEastAsia" w:hAnsiTheme="minorEastAsia" w:hint="eastAsia"/>
          <w:sz w:val="24"/>
          <w:szCs w:val="24"/>
        </w:rPr>
        <w:t>。</w:t>
      </w:r>
      <w:r w:rsidR="00EF549F">
        <w:rPr>
          <w:rFonts w:asciiTheme="minorEastAsia" w:hAnsiTheme="minorEastAsia" w:hint="eastAsia"/>
          <w:sz w:val="24"/>
          <w:szCs w:val="24"/>
        </w:rPr>
        <w:t>参评教学单位平均优良率为96.</w:t>
      </w:r>
      <w:r w:rsidR="00EF549F">
        <w:rPr>
          <w:rFonts w:asciiTheme="minorEastAsia" w:hAnsiTheme="minorEastAsia" w:hint="eastAsia"/>
          <w:sz w:val="24"/>
          <w:szCs w:val="24"/>
        </w:rPr>
        <w:t>42</w:t>
      </w:r>
      <w:r w:rsidR="00EF549F">
        <w:rPr>
          <w:rFonts w:asciiTheme="minorEastAsia" w:hAnsiTheme="minorEastAsia" w:hint="eastAsia"/>
          <w:sz w:val="24"/>
          <w:szCs w:val="24"/>
        </w:rPr>
        <w:t>%。12个参评教学单位中有</w:t>
      </w:r>
      <w:r w:rsidR="00EF549F">
        <w:rPr>
          <w:rFonts w:asciiTheme="minorEastAsia" w:hAnsiTheme="minorEastAsia" w:hint="eastAsia"/>
          <w:sz w:val="24"/>
          <w:szCs w:val="24"/>
        </w:rPr>
        <w:t>5</w:t>
      </w:r>
      <w:r w:rsidR="00EF549F">
        <w:rPr>
          <w:rFonts w:asciiTheme="minorEastAsia" w:hAnsiTheme="minorEastAsia" w:hint="eastAsia"/>
          <w:sz w:val="24"/>
          <w:szCs w:val="24"/>
        </w:rPr>
        <w:t>个教学单位高于均值。</w:t>
      </w:r>
    </w:p>
    <w:sectPr w:rsidR="0075021C" w:rsidRPr="00B8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E1" w:rsidRDefault="00485CE1" w:rsidP="004B208D">
      <w:r>
        <w:separator/>
      </w:r>
    </w:p>
  </w:endnote>
  <w:endnote w:type="continuationSeparator" w:id="0">
    <w:p w:rsidR="00485CE1" w:rsidRDefault="00485CE1" w:rsidP="004B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E1" w:rsidRDefault="00485CE1" w:rsidP="004B208D">
      <w:r>
        <w:separator/>
      </w:r>
    </w:p>
  </w:footnote>
  <w:footnote w:type="continuationSeparator" w:id="0">
    <w:p w:rsidR="00485CE1" w:rsidRDefault="00485CE1" w:rsidP="004B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36"/>
    <w:rsid w:val="00031E0C"/>
    <w:rsid w:val="000D0708"/>
    <w:rsid w:val="001162DA"/>
    <w:rsid w:val="00172BB9"/>
    <w:rsid w:val="00186F6D"/>
    <w:rsid w:val="001B1D96"/>
    <w:rsid w:val="001B76F0"/>
    <w:rsid w:val="001E3F96"/>
    <w:rsid w:val="00257012"/>
    <w:rsid w:val="00270102"/>
    <w:rsid w:val="00281D01"/>
    <w:rsid w:val="002B0C58"/>
    <w:rsid w:val="002D0E05"/>
    <w:rsid w:val="002D473E"/>
    <w:rsid w:val="002F3F00"/>
    <w:rsid w:val="00351B5F"/>
    <w:rsid w:val="00356830"/>
    <w:rsid w:val="003A0C1C"/>
    <w:rsid w:val="003A61FA"/>
    <w:rsid w:val="004128BE"/>
    <w:rsid w:val="00413534"/>
    <w:rsid w:val="00424C19"/>
    <w:rsid w:val="00485CE1"/>
    <w:rsid w:val="004B208D"/>
    <w:rsid w:val="004E17E4"/>
    <w:rsid w:val="005356C7"/>
    <w:rsid w:val="00597D5D"/>
    <w:rsid w:val="005B5B48"/>
    <w:rsid w:val="005B7EA2"/>
    <w:rsid w:val="00633B1E"/>
    <w:rsid w:val="00660133"/>
    <w:rsid w:val="0068547C"/>
    <w:rsid w:val="006D0928"/>
    <w:rsid w:val="00724D71"/>
    <w:rsid w:val="00730651"/>
    <w:rsid w:val="00733C9E"/>
    <w:rsid w:val="0075021C"/>
    <w:rsid w:val="00756C44"/>
    <w:rsid w:val="00776AEE"/>
    <w:rsid w:val="007B7CB7"/>
    <w:rsid w:val="007D6D80"/>
    <w:rsid w:val="008146C0"/>
    <w:rsid w:val="008937D8"/>
    <w:rsid w:val="00896FDB"/>
    <w:rsid w:val="008E6477"/>
    <w:rsid w:val="008E73AC"/>
    <w:rsid w:val="008F4C9E"/>
    <w:rsid w:val="00932DAD"/>
    <w:rsid w:val="009337BC"/>
    <w:rsid w:val="00944B7D"/>
    <w:rsid w:val="0095710B"/>
    <w:rsid w:val="009634AA"/>
    <w:rsid w:val="00991C78"/>
    <w:rsid w:val="009A5526"/>
    <w:rsid w:val="009A6A53"/>
    <w:rsid w:val="009C1AF1"/>
    <w:rsid w:val="00A03D70"/>
    <w:rsid w:val="00A57E9E"/>
    <w:rsid w:val="00A80B68"/>
    <w:rsid w:val="00A83476"/>
    <w:rsid w:val="00AD1773"/>
    <w:rsid w:val="00AE57E0"/>
    <w:rsid w:val="00B01E79"/>
    <w:rsid w:val="00B17BBF"/>
    <w:rsid w:val="00B36FAB"/>
    <w:rsid w:val="00B85BD2"/>
    <w:rsid w:val="00B86522"/>
    <w:rsid w:val="00BA4C70"/>
    <w:rsid w:val="00BF48D5"/>
    <w:rsid w:val="00BF6154"/>
    <w:rsid w:val="00C91261"/>
    <w:rsid w:val="00CB1732"/>
    <w:rsid w:val="00D37223"/>
    <w:rsid w:val="00D422AB"/>
    <w:rsid w:val="00D5125A"/>
    <w:rsid w:val="00D5441C"/>
    <w:rsid w:val="00D62E44"/>
    <w:rsid w:val="00D83559"/>
    <w:rsid w:val="00DF2708"/>
    <w:rsid w:val="00E50436"/>
    <w:rsid w:val="00E65757"/>
    <w:rsid w:val="00EB2E85"/>
    <w:rsid w:val="00ED2FE6"/>
    <w:rsid w:val="00EE196A"/>
    <w:rsid w:val="00EE539C"/>
    <w:rsid w:val="00EF352B"/>
    <w:rsid w:val="00EF549F"/>
    <w:rsid w:val="00F12BCB"/>
    <w:rsid w:val="00F73167"/>
    <w:rsid w:val="00F84747"/>
    <w:rsid w:val="00F97EB7"/>
    <w:rsid w:val="00FC1416"/>
    <w:rsid w:val="00FC269F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教育学院</c:v>
                </c:pt>
                <c:pt idx="1">
                  <c:v>旅游与会展学院</c:v>
                </c:pt>
                <c:pt idx="2">
                  <c:v>外国语学院</c:v>
                </c:pt>
                <c:pt idx="3">
                  <c:v>语言文化与传媒学院</c:v>
                </c:pt>
                <c:pt idx="4">
                  <c:v>经济与管理学院</c:v>
                </c:pt>
                <c:pt idx="5">
                  <c:v>设计学院</c:v>
                </c:pt>
                <c:pt idx="6">
                  <c:v>能源材料与化工学院</c:v>
                </c:pt>
                <c:pt idx="7">
                  <c:v>生物食品与环境学院</c:v>
                </c:pt>
                <c:pt idx="8">
                  <c:v>城市建设与交通学院</c:v>
                </c:pt>
                <c:pt idx="9">
                  <c:v>人工智能与大数据学院</c:v>
                </c:pt>
                <c:pt idx="10">
                  <c:v>先进制造工程学院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0.8639</c:v>
                </c:pt>
                <c:pt idx="1">
                  <c:v>0.89490000000000003</c:v>
                </c:pt>
                <c:pt idx="2">
                  <c:v>0.8407</c:v>
                </c:pt>
                <c:pt idx="3">
                  <c:v>0.90639999999999998</c:v>
                </c:pt>
                <c:pt idx="4">
                  <c:v>0.75819999999999999</c:v>
                </c:pt>
                <c:pt idx="5">
                  <c:v>0.90580000000000005</c:v>
                </c:pt>
                <c:pt idx="6">
                  <c:v>0.76900000000000002</c:v>
                </c:pt>
                <c:pt idx="7">
                  <c:v>0.88419999999999999</c:v>
                </c:pt>
                <c:pt idx="8">
                  <c:v>0.84079999999999999</c:v>
                </c:pt>
                <c:pt idx="9">
                  <c:v>0.82830000000000004</c:v>
                </c:pt>
                <c:pt idx="10">
                  <c:v>0.71409999999999996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4372864"/>
        <c:axId val="444379136"/>
      </c:barChart>
      <c:catAx>
        <c:axId val="444372864"/>
        <c:scaling>
          <c:orientation val="minMax"/>
        </c:scaling>
        <c:delete val="0"/>
        <c:axPos val="l"/>
        <c:majorTickMark val="none"/>
        <c:minorTickMark val="none"/>
        <c:tickLblPos val="nextTo"/>
        <c:crossAx val="444379136"/>
        <c:crosses val="autoZero"/>
        <c:auto val="1"/>
        <c:lblAlgn val="ctr"/>
        <c:lblOffset val="100"/>
        <c:noMultiLvlLbl val="0"/>
      </c:catAx>
      <c:valAx>
        <c:axId val="444379136"/>
        <c:scaling>
          <c:orientation val="minMax"/>
          <c:min val="0.60000000000000009"/>
        </c:scaling>
        <c:delete val="0"/>
        <c:axPos val="b"/>
        <c:numFmt formatCode="0.00%" sourceLinked="1"/>
        <c:majorTickMark val="none"/>
        <c:minorTickMark val="none"/>
        <c:tickLblPos val="nextTo"/>
        <c:crossAx val="4443728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0.96716697936210128</c:v>
                </c:pt>
                <c:pt idx="1">
                  <c:v>0.95714842228282038</c:v>
                </c:pt>
                <c:pt idx="2">
                  <c:v>0.98161244695898164</c:v>
                </c:pt>
                <c:pt idx="3">
                  <c:v>0.9634915366744109</c:v>
                </c:pt>
                <c:pt idx="4">
                  <c:v>0.96205962059620598</c:v>
                </c:pt>
                <c:pt idx="5">
                  <c:v>0.95720211161387636</c:v>
                </c:pt>
                <c:pt idx="6">
                  <c:v>0.97135805676430476</c:v>
                </c:pt>
                <c:pt idx="7">
                  <c:v>0.96102484472049687</c:v>
                </c:pt>
                <c:pt idx="8">
                  <c:v>0.95095906664030061</c:v>
                </c:pt>
                <c:pt idx="9">
                  <c:v>0.97288135593220337</c:v>
                </c:pt>
                <c:pt idx="10">
                  <c:v>0.9632594417077176</c:v>
                </c:pt>
                <c:pt idx="11">
                  <c:v>0.95902500525320444</c:v>
                </c:pt>
                <c:pt idx="12">
                  <c:v>0.95117144733961023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614336"/>
        <c:axId val="443615872"/>
      </c:barChart>
      <c:catAx>
        <c:axId val="443614336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615872"/>
        <c:crosses val="autoZero"/>
        <c:auto val="1"/>
        <c:lblAlgn val="ctr"/>
        <c:lblOffset val="100"/>
        <c:noMultiLvlLbl val="0"/>
      </c:catAx>
      <c:valAx>
        <c:axId val="44361587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43614336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0.97185741088180111</c:v>
                </c:pt>
                <c:pt idx="1">
                  <c:v>0.96396571873782622</c:v>
                </c:pt>
                <c:pt idx="2">
                  <c:v>0.98646191149727214</c:v>
                </c:pt>
                <c:pt idx="3">
                  <c:v>0.96548290740126119</c:v>
                </c:pt>
                <c:pt idx="4">
                  <c:v>0.96331040233479259</c:v>
                </c:pt>
                <c:pt idx="5">
                  <c:v>0.96530920060331826</c:v>
                </c:pt>
                <c:pt idx="6">
                  <c:v>0.9783074624926934</c:v>
                </c:pt>
                <c:pt idx="7">
                  <c:v>0.96770186335403729</c:v>
                </c:pt>
                <c:pt idx="8">
                  <c:v>0.95768242040735618</c:v>
                </c:pt>
                <c:pt idx="9">
                  <c:v>0.97648305084745768</c:v>
                </c:pt>
                <c:pt idx="10">
                  <c:v>0.96449096880131358</c:v>
                </c:pt>
                <c:pt idx="11">
                  <c:v>0.96511872242067664</c:v>
                </c:pt>
                <c:pt idx="12">
                  <c:v>0.95741186774687981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567104"/>
        <c:axId val="443634432"/>
      </c:barChart>
      <c:catAx>
        <c:axId val="443567104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634432"/>
        <c:crosses val="autoZero"/>
        <c:auto val="1"/>
        <c:lblAlgn val="ctr"/>
        <c:lblOffset val="100"/>
        <c:noMultiLvlLbl val="0"/>
      </c:catAx>
      <c:valAx>
        <c:axId val="44363443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43567104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0.98196308724832215</c:v>
                </c:pt>
                <c:pt idx="1">
                  <c:v>0.98328935795954264</c:v>
                </c:pt>
                <c:pt idx="2">
                  <c:v>0.95034377387318569</c:v>
                </c:pt>
                <c:pt idx="3">
                  <c:v>0.93580246913580245</c:v>
                </c:pt>
                <c:pt idx="4">
                  <c:v>0.9674213141910547</c:v>
                </c:pt>
                <c:pt idx="5">
                  <c:v>0.97813620071684593</c:v>
                </c:pt>
                <c:pt idx="6">
                  <c:v>0.95952448344183416</c:v>
                </c:pt>
                <c:pt idx="7">
                  <c:v>0.96471107190119099</c:v>
                </c:pt>
                <c:pt idx="8">
                  <c:v>0.98623221661312532</c:v>
                </c:pt>
                <c:pt idx="9">
                  <c:v>0.96288026793190062</c:v>
                </c:pt>
                <c:pt idx="10">
                  <c:v>0.96688534832864725</c:v>
                </c:pt>
                <c:pt idx="11">
                  <c:v>0.96006051437216344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687680"/>
        <c:axId val="443689216"/>
      </c:barChart>
      <c:catAx>
        <c:axId val="443687680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689216"/>
        <c:crosses val="autoZero"/>
        <c:auto val="1"/>
        <c:lblAlgn val="ctr"/>
        <c:lblOffset val="100"/>
        <c:noMultiLvlLbl val="0"/>
      </c:catAx>
      <c:valAx>
        <c:axId val="443689216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443687680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0.97671979865771807</c:v>
                </c:pt>
                <c:pt idx="1">
                  <c:v>0.97889182058047497</c:v>
                </c:pt>
                <c:pt idx="2">
                  <c:v>0.94576012223071049</c:v>
                </c:pt>
                <c:pt idx="3">
                  <c:v>0.94074074074074077</c:v>
                </c:pt>
                <c:pt idx="4">
                  <c:v>0.96576477084483714</c:v>
                </c:pt>
                <c:pt idx="5">
                  <c:v>0.97526881720430103</c:v>
                </c:pt>
                <c:pt idx="6">
                  <c:v>0.95315595810925557</c:v>
                </c:pt>
                <c:pt idx="7">
                  <c:v>0.96235847669460373</c:v>
                </c:pt>
                <c:pt idx="8">
                  <c:v>0.98324919687930246</c:v>
                </c:pt>
                <c:pt idx="9">
                  <c:v>0.96232207647223</c:v>
                </c:pt>
                <c:pt idx="10">
                  <c:v>0.96626054358013125</c:v>
                </c:pt>
                <c:pt idx="11">
                  <c:v>0.95673222390317703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742464"/>
        <c:axId val="443752448"/>
      </c:barChart>
      <c:catAx>
        <c:axId val="443742464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752448"/>
        <c:crosses val="autoZero"/>
        <c:auto val="1"/>
        <c:lblAlgn val="ctr"/>
        <c:lblOffset val="100"/>
        <c:noMultiLvlLbl val="0"/>
      </c:catAx>
      <c:valAx>
        <c:axId val="443752448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43742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0.98091442953020136</c:v>
                </c:pt>
                <c:pt idx="1">
                  <c:v>0.98328935795954264</c:v>
                </c:pt>
                <c:pt idx="2">
                  <c:v>0.94041252864782277</c:v>
                </c:pt>
                <c:pt idx="3">
                  <c:v>0.94320987654320987</c:v>
                </c:pt>
                <c:pt idx="4">
                  <c:v>0.96631695196024292</c:v>
                </c:pt>
                <c:pt idx="5">
                  <c:v>0.97455197132616489</c:v>
                </c:pt>
                <c:pt idx="6">
                  <c:v>0.95697707330880277</c:v>
                </c:pt>
                <c:pt idx="7">
                  <c:v>0.96279958829583889</c:v>
                </c:pt>
                <c:pt idx="8">
                  <c:v>0.98301973382285457</c:v>
                </c:pt>
                <c:pt idx="9">
                  <c:v>0.96539212950041864</c:v>
                </c:pt>
                <c:pt idx="10">
                  <c:v>0.96204311152764765</c:v>
                </c:pt>
                <c:pt idx="11">
                  <c:v>0.95809379727685329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805696"/>
        <c:axId val="443807232"/>
      </c:barChart>
      <c:catAx>
        <c:axId val="443805696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807232"/>
        <c:crosses val="autoZero"/>
        <c:auto val="1"/>
        <c:lblAlgn val="ctr"/>
        <c:lblOffset val="100"/>
        <c:noMultiLvlLbl val="0"/>
      </c:catAx>
      <c:valAx>
        <c:axId val="44380723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43805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0.97881711409395977</c:v>
                </c:pt>
                <c:pt idx="1">
                  <c:v>0.97889182058047497</c:v>
                </c:pt>
                <c:pt idx="2">
                  <c:v>0.94576012223071049</c:v>
                </c:pt>
                <c:pt idx="3">
                  <c:v>0.94074074074074077</c:v>
                </c:pt>
                <c:pt idx="4">
                  <c:v>0.96355604638321368</c:v>
                </c:pt>
                <c:pt idx="5">
                  <c:v>0.97473118279569892</c:v>
                </c:pt>
                <c:pt idx="6">
                  <c:v>0.95004245683555055</c:v>
                </c:pt>
                <c:pt idx="7">
                  <c:v>0.9573592118806058</c:v>
                </c:pt>
                <c:pt idx="8">
                  <c:v>0.98210188159706291</c:v>
                </c:pt>
                <c:pt idx="9">
                  <c:v>0.96539212950041864</c:v>
                </c:pt>
                <c:pt idx="10">
                  <c:v>0.96235551390190566</c:v>
                </c:pt>
                <c:pt idx="11">
                  <c:v>0.95506807866868382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815424"/>
        <c:axId val="443816960"/>
      </c:barChart>
      <c:catAx>
        <c:axId val="443815424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816960"/>
        <c:crosses val="autoZero"/>
        <c:auto val="1"/>
        <c:lblAlgn val="ctr"/>
        <c:lblOffset val="100"/>
        <c:noMultiLvlLbl val="0"/>
      </c:catAx>
      <c:valAx>
        <c:axId val="443816960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43815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0.97797818791946312</c:v>
                </c:pt>
                <c:pt idx="1">
                  <c:v>0.97977132805628853</c:v>
                </c:pt>
                <c:pt idx="2">
                  <c:v>0.9373567608861727</c:v>
                </c:pt>
                <c:pt idx="3">
                  <c:v>0.93086419753086425</c:v>
                </c:pt>
                <c:pt idx="4">
                  <c:v>0.96300386526780779</c:v>
                </c:pt>
                <c:pt idx="5">
                  <c:v>0.97526881720430103</c:v>
                </c:pt>
                <c:pt idx="6">
                  <c:v>0.95244834418341351</c:v>
                </c:pt>
                <c:pt idx="7">
                  <c:v>0.9614762534921335</c:v>
                </c:pt>
                <c:pt idx="8">
                  <c:v>0.98187241854061491</c:v>
                </c:pt>
                <c:pt idx="9">
                  <c:v>0.96288026793190062</c:v>
                </c:pt>
                <c:pt idx="10">
                  <c:v>0.96376132458606689</c:v>
                </c:pt>
                <c:pt idx="11">
                  <c:v>0.95642965204236008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845248"/>
        <c:axId val="443896192"/>
      </c:barChart>
      <c:catAx>
        <c:axId val="443845248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896192"/>
        <c:crosses val="autoZero"/>
        <c:auto val="1"/>
        <c:lblAlgn val="ctr"/>
        <c:lblOffset val="100"/>
        <c:noMultiLvlLbl val="0"/>
      </c:catAx>
      <c:valAx>
        <c:axId val="443896192"/>
        <c:scaling>
          <c:orientation val="minMax"/>
          <c:max val="0.99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443845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0.97671979865771807</c:v>
                </c:pt>
                <c:pt idx="1">
                  <c:v>0.98153034300791553</c:v>
                </c:pt>
                <c:pt idx="2">
                  <c:v>0.93812070282658522</c:v>
                </c:pt>
                <c:pt idx="3">
                  <c:v>0.93827160493827155</c:v>
                </c:pt>
                <c:pt idx="4">
                  <c:v>0.96521258972943125</c:v>
                </c:pt>
                <c:pt idx="5">
                  <c:v>0.97347670250896057</c:v>
                </c:pt>
                <c:pt idx="6">
                  <c:v>0.95329748089442401</c:v>
                </c:pt>
                <c:pt idx="7">
                  <c:v>0.9630936626966623</c:v>
                </c:pt>
                <c:pt idx="8">
                  <c:v>0.98187241854061491</c:v>
                </c:pt>
                <c:pt idx="9">
                  <c:v>0.96176388501255927</c:v>
                </c:pt>
                <c:pt idx="10">
                  <c:v>0.96251171508903466</c:v>
                </c:pt>
                <c:pt idx="11">
                  <c:v>0.95567322239031771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928960"/>
        <c:axId val="443930496"/>
      </c:barChart>
      <c:catAx>
        <c:axId val="443928960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930496"/>
        <c:crosses val="autoZero"/>
        <c:auto val="1"/>
        <c:lblAlgn val="ctr"/>
        <c:lblOffset val="100"/>
        <c:noMultiLvlLbl val="0"/>
      </c:catAx>
      <c:valAx>
        <c:axId val="443930496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443928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0.97923657718120805</c:v>
                </c:pt>
                <c:pt idx="1">
                  <c:v>0.97977132805628853</c:v>
                </c:pt>
                <c:pt idx="2">
                  <c:v>0.94957983193277307</c:v>
                </c:pt>
                <c:pt idx="3">
                  <c:v>0.93580246913580245</c:v>
                </c:pt>
                <c:pt idx="4">
                  <c:v>0.96355604638321368</c:v>
                </c:pt>
                <c:pt idx="5">
                  <c:v>0.975089605734767</c:v>
                </c:pt>
                <c:pt idx="6">
                  <c:v>0.9571185960939711</c:v>
                </c:pt>
                <c:pt idx="7">
                  <c:v>0.96279958829583889</c:v>
                </c:pt>
                <c:pt idx="8">
                  <c:v>0.98187241854061491</c:v>
                </c:pt>
                <c:pt idx="9">
                  <c:v>0.96650851241975999</c:v>
                </c:pt>
                <c:pt idx="10">
                  <c:v>0.96282411746329277</c:v>
                </c:pt>
                <c:pt idx="11">
                  <c:v>0.95642965204236008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959168"/>
        <c:axId val="443960704"/>
      </c:barChart>
      <c:catAx>
        <c:axId val="443959168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960704"/>
        <c:crosses val="autoZero"/>
        <c:auto val="1"/>
        <c:lblAlgn val="ctr"/>
        <c:lblOffset val="100"/>
        <c:noMultiLvlLbl val="0"/>
      </c:catAx>
      <c:valAx>
        <c:axId val="443960704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443959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0.00_ </c:formatCode>
                <c:ptCount val="13"/>
                <c:pt idx="0">
                  <c:v>93.38</c:v>
                </c:pt>
                <c:pt idx="1">
                  <c:v>93.28</c:v>
                </c:pt>
                <c:pt idx="2">
                  <c:v>93.75</c:v>
                </c:pt>
                <c:pt idx="3">
                  <c:v>93.04</c:v>
                </c:pt>
                <c:pt idx="4">
                  <c:v>92.99</c:v>
                </c:pt>
                <c:pt idx="5">
                  <c:v>92.8</c:v>
                </c:pt>
                <c:pt idx="6">
                  <c:v>93.53</c:v>
                </c:pt>
                <c:pt idx="7">
                  <c:v>92.91</c:v>
                </c:pt>
                <c:pt idx="8">
                  <c:v>92.82</c:v>
                </c:pt>
                <c:pt idx="9">
                  <c:v>93.17</c:v>
                </c:pt>
                <c:pt idx="10">
                  <c:v>93.15</c:v>
                </c:pt>
                <c:pt idx="11">
                  <c:v>92.93</c:v>
                </c:pt>
                <c:pt idx="12">
                  <c:v>92.8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4341248"/>
        <c:axId val="354342784"/>
      </c:barChart>
      <c:catAx>
        <c:axId val="354341248"/>
        <c:scaling>
          <c:orientation val="minMax"/>
        </c:scaling>
        <c:delete val="0"/>
        <c:axPos val="l"/>
        <c:majorTickMark val="none"/>
        <c:minorTickMark val="none"/>
        <c:tickLblPos val="nextTo"/>
        <c:crossAx val="354342784"/>
        <c:crosses val="autoZero"/>
        <c:auto val="1"/>
        <c:lblAlgn val="ctr"/>
        <c:lblOffset val="100"/>
        <c:noMultiLvlLbl val="0"/>
      </c:catAx>
      <c:valAx>
        <c:axId val="354342784"/>
        <c:scaling>
          <c:orientation val="minMax"/>
          <c:max val="94.5"/>
          <c:min val="91"/>
        </c:scaling>
        <c:delete val="0"/>
        <c:axPos val="b"/>
        <c:numFmt formatCode="0.00_ " sourceLinked="1"/>
        <c:majorTickMark val="none"/>
        <c:minorTickMark val="none"/>
        <c:tickLblPos val="nextTo"/>
        <c:crossAx val="354341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0.97529706066291433</c:v>
                </c:pt>
                <c:pt idx="1">
                  <c:v>0.96435527853525516</c:v>
                </c:pt>
                <c:pt idx="2">
                  <c:v>0.98464336229541316</c:v>
                </c:pt>
                <c:pt idx="3">
                  <c:v>0.9664785927646864</c:v>
                </c:pt>
                <c:pt idx="4">
                  <c:v>0.96539503856577025</c:v>
                </c:pt>
                <c:pt idx="5">
                  <c:v>0.96474358974358976</c:v>
                </c:pt>
                <c:pt idx="6">
                  <c:v>0.97681366499967526</c:v>
                </c:pt>
                <c:pt idx="7">
                  <c:v>0.96661490683229812</c:v>
                </c:pt>
                <c:pt idx="8">
                  <c:v>0.95788016610638715</c:v>
                </c:pt>
                <c:pt idx="9">
                  <c:v>0.97838983050847461</c:v>
                </c:pt>
                <c:pt idx="10">
                  <c:v>0.96408045977011492</c:v>
                </c:pt>
                <c:pt idx="11">
                  <c:v>0.96834068781956995</c:v>
                </c:pt>
                <c:pt idx="12">
                  <c:v>0.95894460258375303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7336960"/>
        <c:axId val="357338496"/>
      </c:barChart>
      <c:catAx>
        <c:axId val="357336960"/>
        <c:scaling>
          <c:orientation val="minMax"/>
        </c:scaling>
        <c:delete val="0"/>
        <c:axPos val="l"/>
        <c:majorTickMark val="none"/>
        <c:minorTickMark val="none"/>
        <c:tickLblPos val="nextTo"/>
        <c:crossAx val="357338496"/>
        <c:crosses val="autoZero"/>
        <c:auto val="1"/>
        <c:lblAlgn val="ctr"/>
        <c:lblOffset val="100"/>
        <c:noMultiLvlLbl val="0"/>
      </c:catAx>
      <c:valAx>
        <c:axId val="357338496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357336960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0.97592245153220758</c:v>
                </c:pt>
                <c:pt idx="1">
                  <c:v>0.95987534086482273</c:v>
                </c:pt>
                <c:pt idx="2">
                  <c:v>0.98201656900383916</c:v>
                </c:pt>
                <c:pt idx="3">
                  <c:v>0.96714238300696975</c:v>
                </c:pt>
                <c:pt idx="4">
                  <c:v>0.97102355638941007</c:v>
                </c:pt>
                <c:pt idx="5">
                  <c:v>0.9698340874811463</c:v>
                </c:pt>
                <c:pt idx="6">
                  <c:v>0.97642397869714881</c:v>
                </c:pt>
                <c:pt idx="7">
                  <c:v>0.96537267080745337</c:v>
                </c:pt>
                <c:pt idx="8">
                  <c:v>0.95926438599960451</c:v>
                </c:pt>
                <c:pt idx="9">
                  <c:v>0.97542372881355932</c:v>
                </c:pt>
                <c:pt idx="10">
                  <c:v>0.96469622331691296</c:v>
                </c:pt>
                <c:pt idx="11">
                  <c:v>0.96792043146319251</c:v>
                </c:pt>
                <c:pt idx="12">
                  <c:v>0.95861615940442302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7830016"/>
        <c:axId val="357856384"/>
      </c:barChart>
      <c:catAx>
        <c:axId val="357830016"/>
        <c:scaling>
          <c:orientation val="minMax"/>
        </c:scaling>
        <c:delete val="0"/>
        <c:axPos val="l"/>
        <c:majorTickMark val="none"/>
        <c:minorTickMark val="none"/>
        <c:tickLblPos val="nextTo"/>
        <c:crossAx val="357856384"/>
        <c:crosses val="autoZero"/>
        <c:auto val="1"/>
        <c:lblAlgn val="ctr"/>
        <c:lblOffset val="100"/>
        <c:noMultiLvlLbl val="0"/>
      </c:catAx>
      <c:valAx>
        <c:axId val="35785638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357830016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0.97373358348968109</c:v>
                </c:pt>
                <c:pt idx="1">
                  <c:v>0.95987534086482273</c:v>
                </c:pt>
                <c:pt idx="2">
                  <c:v>0.983026874115983</c:v>
                </c:pt>
                <c:pt idx="3">
                  <c:v>0.96282774643212743</c:v>
                </c:pt>
                <c:pt idx="4">
                  <c:v>0.96435272045028142</c:v>
                </c:pt>
                <c:pt idx="5">
                  <c:v>0.96059577677224739</c:v>
                </c:pt>
                <c:pt idx="6">
                  <c:v>0.97181269078391896</c:v>
                </c:pt>
                <c:pt idx="7">
                  <c:v>0.96102484472049687</c:v>
                </c:pt>
                <c:pt idx="8">
                  <c:v>0.94937710104805217</c:v>
                </c:pt>
                <c:pt idx="9">
                  <c:v>0.97330508474576272</c:v>
                </c:pt>
                <c:pt idx="10">
                  <c:v>0.9632594417077176</c:v>
                </c:pt>
                <c:pt idx="11">
                  <c:v>0.9604959025005253</c:v>
                </c:pt>
                <c:pt idx="12">
                  <c:v>0.95522224655134658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7909632"/>
        <c:axId val="357911168"/>
      </c:barChart>
      <c:catAx>
        <c:axId val="357909632"/>
        <c:scaling>
          <c:orientation val="minMax"/>
        </c:scaling>
        <c:delete val="0"/>
        <c:axPos val="l"/>
        <c:majorTickMark val="none"/>
        <c:minorTickMark val="none"/>
        <c:tickLblPos val="nextTo"/>
        <c:crossAx val="357911168"/>
        <c:crosses val="autoZero"/>
        <c:auto val="1"/>
        <c:lblAlgn val="ctr"/>
        <c:lblOffset val="100"/>
        <c:noMultiLvlLbl val="0"/>
      </c:catAx>
      <c:valAx>
        <c:axId val="357911168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3579096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0.97185741088180111</c:v>
                </c:pt>
                <c:pt idx="1">
                  <c:v>0.9573432021815349</c:v>
                </c:pt>
                <c:pt idx="2">
                  <c:v>0.98120832491412402</c:v>
                </c:pt>
                <c:pt idx="3">
                  <c:v>0.96083637570527713</c:v>
                </c:pt>
                <c:pt idx="4">
                  <c:v>0.96289347508859702</c:v>
                </c:pt>
                <c:pt idx="5">
                  <c:v>0.9622926093514329</c:v>
                </c:pt>
                <c:pt idx="6">
                  <c:v>0.971293109047217</c:v>
                </c:pt>
                <c:pt idx="7">
                  <c:v>0.959472049689441</c:v>
                </c:pt>
                <c:pt idx="8">
                  <c:v>0.95412299782479726</c:v>
                </c:pt>
                <c:pt idx="9">
                  <c:v>0.97033898305084743</c:v>
                </c:pt>
                <c:pt idx="10">
                  <c:v>0.96161740558292286</c:v>
                </c:pt>
                <c:pt idx="11">
                  <c:v>0.96084611613083981</c:v>
                </c:pt>
                <c:pt idx="12">
                  <c:v>0.95248522005693015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9357056"/>
        <c:axId val="359358848"/>
      </c:barChart>
      <c:catAx>
        <c:axId val="359357056"/>
        <c:scaling>
          <c:orientation val="minMax"/>
        </c:scaling>
        <c:delete val="0"/>
        <c:axPos val="l"/>
        <c:majorTickMark val="none"/>
        <c:minorTickMark val="none"/>
        <c:tickLblPos val="nextTo"/>
        <c:crossAx val="359358848"/>
        <c:crosses val="autoZero"/>
        <c:auto val="1"/>
        <c:lblAlgn val="ctr"/>
        <c:lblOffset val="100"/>
        <c:noMultiLvlLbl val="0"/>
      </c:catAx>
      <c:valAx>
        <c:axId val="359358848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359357056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0.97154471544715448</c:v>
                </c:pt>
                <c:pt idx="1">
                  <c:v>0.95851188157382161</c:v>
                </c:pt>
                <c:pt idx="2">
                  <c:v>0.98423924025055565</c:v>
                </c:pt>
                <c:pt idx="3">
                  <c:v>0.9664785927646864</c:v>
                </c:pt>
                <c:pt idx="4">
                  <c:v>0.95851573900354392</c:v>
                </c:pt>
                <c:pt idx="5">
                  <c:v>0.96003016591251888</c:v>
                </c:pt>
                <c:pt idx="6">
                  <c:v>0.97155289991556792</c:v>
                </c:pt>
                <c:pt idx="7">
                  <c:v>0.95931677018633543</c:v>
                </c:pt>
                <c:pt idx="8">
                  <c:v>0.95333201502867315</c:v>
                </c:pt>
                <c:pt idx="9">
                  <c:v>0.97097457627118644</c:v>
                </c:pt>
                <c:pt idx="10">
                  <c:v>0.96182266009852213</c:v>
                </c:pt>
                <c:pt idx="11">
                  <c:v>0.95776423618407225</c:v>
                </c:pt>
                <c:pt idx="12">
                  <c:v>0.95029559886139703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59375232"/>
        <c:axId val="359376768"/>
      </c:barChart>
      <c:catAx>
        <c:axId val="359375232"/>
        <c:scaling>
          <c:orientation val="minMax"/>
        </c:scaling>
        <c:delete val="0"/>
        <c:axPos val="l"/>
        <c:majorTickMark val="none"/>
        <c:minorTickMark val="none"/>
        <c:tickLblPos val="nextTo"/>
        <c:crossAx val="359376768"/>
        <c:crosses val="autoZero"/>
        <c:auto val="1"/>
        <c:lblAlgn val="ctr"/>
        <c:lblOffset val="100"/>
        <c:noMultiLvlLbl val="0"/>
      </c:catAx>
      <c:valAx>
        <c:axId val="359376768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359375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0.96372732958098817</c:v>
                </c:pt>
                <c:pt idx="1">
                  <c:v>0.95559018309310484</c:v>
                </c:pt>
                <c:pt idx="2">
                  <c:v>0.9781774095776925</c:v>
                </c:pt>
                <c:pt idx="3">
                  <c:v>0.96017258546299367</c:v>
                </c:pt>
                <c:pt idx="4">
                  <c:v>0.95809881175734835</c:v>
                </c:pt>
                <c:pt idx="5">
                  <c:v>0.95343137254901966</c:v>
                </c:pt>
                <c:pt idx="6">
                  <c:v>0.96992920698837437</c:v>
                </c:pt>
                <c:pt idx="7">
                  <c:v>0.95900621118012419</c:v>
                </c:pt>
                <c:pt idx="8">
                  <c:v>0.95056357524223845</c:v>
                </c:pt>
                <c:pt idx="9">
                  <c:v>0.96970338983050852</c:v>
                </c:pt>
                <c:pt idx="10">
                  <c:v>0.9579228243021346</c:v>
                </c:pt>
                <c:pt idx="11">
                  <c:v>0.95839462071863835</c:v>
                </c:pt>
                <c:pt idx="12">
                  <c:v>0.94876286402452381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2029184"/>
        <c:axId val="422030720"/>
      </c:barChart>
      <c:catAx>
        <c:axId val="422029184"/>
        <c:scaling>
          <c:orientation val="minMax"/>
        </c:scaling>
        <c:delete val="0"/>
        <c:axPos val="l"/>
        <c:majorTickMark val="none"/>
        <c:minorTickMark val="none"/>
        <c:tickLblPos val="nextTo"/>
        <c:crossAx val="422030720"/>
        <c:crosses val="autoZero"/>
        <c:auto val="1"/>
        <c:lblAlgn val="ctr"/>
        <c:lblOffset val="100"/>
        <c:noMultiLvlLbl val="0"/>
      </c:catAx>
      <c:valAx>
        <c:axId val="422030720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22029184"/>
        <c:crosses val="autoZero"/>
        <c:crossBetween val="between"/>
        <c:majorUnit val="1.0000000000000002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0.96779237023139464</c:v>
                </c:pt>
                <c:pt idx="1">
                  <c:v>0.96045968056096609</c:v>
                </c:pt>
                <c:pt idx="2">
                  <c:v>0.97999595877955148</c:v>
                </c:pt>
                <c:pt idx="3">
                  <c:v>0.96083637570527713</c:v>
                </c:pt>
                <c:pt idx="4">
                  <c:v>0.9616426933500104</c:v>
                </c:pt>
                <c:pt idx="5">
                  <c:v>0.95644796380090502</c:v>
                </c:pt>
                <c:pt idx="6">
                  <c:v>0.97148795219848028</c:v>
                </c:pt>
                <c:pt idx="7">
                  <c:v>0.95931677018633543</c:v>
                </c:pt>
                <c:pt idx="8">
                  <c:v>0.94799288115483493</c:v>
                </c:pt>
                <c:pt idx="9">
                  <c:v>0.96949152542372885</c:v>
                </c:pt>
                <c:pt idx="10">
                  <c:v>0.95915435139573069</c:v>
                </c:pt>
                <c:pt idx="11">
                  <c:v>0.95741402255375774</c:v>
                </c:pt>
                <c:pt idx="12">
                  <c:v>0.94931026932340701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3551104"/>
        <c:axId val="443556992"/>
      </c:barChart>
      <c:catAx>
        <c:axId val="443551104"/>
        <c:scaling>
          <c:orientation val="minMax"/>
        </c:scaling>
        <c:delete val="0"/>
        <c:axPos val="l"/>
        <c:majorTickMark val="none"/>
        <c:minorTickMark val="none"/>
        <c:tickLblPos val="nextTo"/>
        <c:crossAx val="443556992"/>
        <c:crosses val="autoZero"/>
        <c:auto val="1"/>
        <c:lblAlgn val="ctr"/>
        <c:lblOffset val="100"/>
        <c:noMultiLvlLbl val="0"/>
      </c:catAx>
      <c:valAx>
        <c:axId val="44355699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443551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18</Pages>
  <Words>444</Words>
  <Characters>2533</Characters>
  <Application>Microsoft Office Word</Application>
  <DocSecurity>0</DocSecurity>
  <Lines>21</Lines>
  <Paragraphs>5</Paragraphs>
  <ScaleCrop>false</ScaleCrop>
  <Company>Sky123.Org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2021-09-08T07:13:00Z</dcterms:created>
  <dcterms:modified xsi:type="dcterms:W3CDTF">2022-03-11T07:13:00Z</dcterms:modified>
</cp:coreProperties>
</file>